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3063B52D" w:rsidR="00C539B0" w:rsidRPr="0007631D" w:rsidRDefault="00C539B0" w:rsidP="00C539B0">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3F69D2" w:rsidRPr="0007631D">
        <w:rPr>
          <w:b/>
          <w:sz w:val="24"/>
          <w:szCs w:val="24"/>
        </w:rPr>
        <w:t>#9</w:t>
      </w:r>
      <w:r w:rsidR="006577D0" w:rsidRPr="0007631D">
        <w:rPr>
          <w:b/>
          <w:sz w:val="24"/>
          <w:szCs w:val="24"/>
        </w:rPr>
        <w:t>1</w:t>
      </w:r>
      <w:r w:rsidRPr="0007631D">
        <w:rPr>
          <w:b/>
          <w:sz w:val="24"/>
          <w:szCs w:val="24"/>
        </w:rPr>
        <w:tab/>
        <w:t>R1-17</w:t>
      </w:r>
      <w:r w:rsidR="00A34005" w:rsidRPr="0007631D">
        <w:rPr>
          <w:b/>
          <w:sz w:val="24"/>
          <w:szCs w:val="24"/>
        </w:rPr>
        <w:t>20692</w:t>
      </w:r>
    </w:p>
    <w:p w14:paraId="4405AC25" w14:textId="7E21EDE1" w:rsidR="00433B47" w:rsidRPr="0007631D" w:rsidRDefault="003F4789" w:rsidP="00433B47">
      <w:pPr>
        <w:tabs>
          <w:tab w:val="center" w:pos="4536"/>
          <w:tab w:val="right" w:pos="9072"/>
        </w:tabs>
        <w:spacing w:after="0"/>
        <w:rPr>
          <w:rFonts w:eastAsia="MS Mincho"/>
          <w:b/>
          <w:bCs/>
          <w:sz w:val="24"/>
          <w:szCs w:val="24"/>
          <w:lang w:eastAsia="ja-JP"/>
        </w:rPr>
      </w:pPr>
      <w:r w:rsidRPr="0007631D">
        <w:rPr>
          <w:b/>
          <w:bCs/>
          <w:sz w:val="24"/>
          <w:szCs w:val="24"/>
        </w:rPr>
        <w:t>November 27 – December 1</w:t>
      </w:r>
      <w:r w:rsidR="003F69D2" w:rsidRPr="0007631D">
        <w:rPr>
          <w:b/>
          <w:bCs/>
          <w:sz w:val="24"/>
          <w:szCs w:val="24"/>
        </w:rPr>
        <w:t>,</w:t>
      </w:r>
      <w:r w:rsidR="00433B47" w:rsidRPr="0007631D">
        <w:rPr>
          <w:b/>
          <w:bCs/>
          <w:sz w:val="24"/>
          <w:szCs w:val="24"/>
        </w:rPr>
        <w:t xml:space="preserve"> 201</w:t>
      </w:r>
      <w:r w:rsidR="00433B47" w:rsidRPr="0007631D">
        <w:rPr>
          <w:rFonts w:eastAsia="MS Mincho"/>
          <w:b/>
          <w:bCs/>
          <w:sz w:val="24"/>
          <w:szCs w:val="24"/>
          <w:lang w:eastAsia="ja-JP"/>
        </w:rPr>
        <w:t>7</w:t>
      </w:r>
    </w:p>
    <w:p w14:paraId="28A9D42B" w14:textId="49195B08" w:rsidR="00433B47" w:rsidRPr="0007631D" w:rsidRDefault="000D2642" w:rsidP="00433B47">
      <w:pPr>
        <w:spacing w:after="0"/>
        <w:jc w:val="both"/>
        <w:rPr>
          <w:b/>
          <w:sz w:val="24"/>
          <w:szCs w:val="24"/>
        </w:rPr>
      </w:pPr>
      <w:r w:rsidRPr="0007631D">
        <w:rPr>
          <w:b/>
          <w:sz w:val="24"/>
          <w:szCs w:val="24"/>
        </w:rPr>
        <w:t>Reno, Nevada, US</w:t>
      </w:r>
    </w:p>
    <w:p w14:paraId="0FF7EEB0" w14:textId="77777777" w:rsidR="00F15C93" w:rsidRPr="0007631D" w:rsidRDefault="00F15C93" w:rsidP="00F15C93">
      <w:pPr>
        <w:pStyle w:val="Footer"/>
        <w:jc w:val="both"/>
        <w:rPr>
          <w:rFonts w:ascii="Times New Roman" w:hAnsi="Times New Roman"/>
          <w:i w:val="0"/>
          <w:noProof w:val="0"/>
        </w:rPr>
      </w:pPr>
    </w:p>
    <w:p w14:paraId="358C9AA6" w14:textId="27B0908A"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3F69D2" w:rsidRPr="0007631D">
        <w:rPr>
          <w:b/>
          <w:sz w:val="24"/>
        </w:rPr>
        <w:t>7</w:t>
      </w:r>
      <w:r w:rsidR="004D64DD">
        <w:rPr>
          <w:b/>
          <w:sz w:val="24"/>
        </w:rPr>
        <w:t>.3.3.6</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22A37230"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F15C93" w:rsidRPr="0007631D">
        <w:rPr>
          <w:sz w:val="24"/>
        </w:rPr>
        <w:t>URLLC DL pre-emption and UL suspension indication channel design</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77777777" w:rsidR="00C34C05" w:rsidRPr="0007631D" w:rsidRDefault="00FD6A3D" w:rsidP="005E5BE8">
      <w:pPr>
        <w:pStyle w:val="Heading1"/>
        <w:jc w:val="both"/>
        <w:rPr>
          <w:rFonts w:ascii="Times New Roman" w:hAnsi="Times New Roman"/>
        </w:rPr>
      </w:pPr>
      <w:r w:rsidRPr="0007631D">
        <w:rPr>
          <w:rFonts w:ascii="Times New Roman" w:hAnsi="Times New Roman"/>
        </w:rPr>
        <w:t>Introduction</w:t>
      </w:r>
    </w:p>
    <w:p w14:paraId="6FD42271" w14:textId="421AF5EE" w:rsidR="00FB7760" w:rsidRPr="0007631D" w:rsidRDefault="008033B8" w:rsidP="003F2A9F">
      <w:pPr>
        <w:jc w:val="both"/>
        <w:rPr>
          <w:sz w:val="24"/>
          <w:szCs w:val="24"/>
        </w:rPr>
      </w:pPr>
      <w:r w:rsidRPr="0007631D">
        <w:rPr>
          <w:sz w:val="24"/>
          <w:szCs w:val="24"/>
        </w:rPr>
        <w:t>[This i</w:t>
      </w:r>
      <w:r w:rsidR="005B488E" w:rsidRPr="0007631D">
        <w:rPr>
          <w:sz w:val="24"/>
          <w:szCs w:val="24"/>
        </w:rPr>
        <w:t xml:space="preserve">s a revision </w:t>
      </w:r>
      <w:r w:rsidR="00FB7760" w:rsidRPr="0007631D">
        <w:rPr>
          <w:sz w:val="24"/>
          <w:szCs w:val="24"/>
        </w:rPr>
        <w:t>from R1-171</w:t>
      </w:r>
      <w:r w:rsidR="00632498" w:rsidRPr="0007631D">
        <w:rPr>
          <w:sz w:val="24"/>
          <w:szCs w:val="24"/>
        </w:rPr>
        <w:t>8573</w:t>
      </w:r>
      <w:r w:rsidR="00FB7760" w:rsidRPr="0007631D">
        <w:rPr>
          <w:sz w:val="24"/>
          <w:szCs w:val="24"/>
        </w:rPr>
        <w:t>]</w:t>
      </w:r>
    </w:p>
    <w:p w14:paraId="09EADD9F" w14:textId="00832E3F" w:rsidR="00BA1327" w:rsidRPr="00AC1525" w:rsidRDefault="003F2A9F" w:rsidP="003F2A9F">
      <w:pPr>
        <w:jc w:val="both"/>
        <w:rPr>
          <w:noProof/>
          <w:color w:val="FF0000"/>
          <w:sz w:val="24"/>
          <w:szCs w:val="24"/>
        </w:rPr>
      </w:pPr>
      <w:r w:rsidRPr="0007631D">
        <w:rPr>
          <w:sz w:val="24"/>
          <w:szCs w:val="24"/>
        </w:rPr>
        <w:t>In RAN #71, the technology study item for 5G new RAT</w:t>
      </w:r>
      <w:r w:rsidR="00E14F6F" w:rsidRPr="0007631D">
        <w:rPr>
          <w:sz w:val="24"/>
          <w:szCs w:val="24"/>
        </w:rPr>
        <w:t xml:space="preserve"> </w:t>
      </w:r>
      <w:r w:rsidRPr="0007631D">
        <w:rPr>
          <w:sz w:val="24"/>
          <w:szCs w:val="24"/>
        </w:rPr>
        <w:t xml:space="preserve">(NR) has been approved </w:t>
      </w:r>
      <w:r w:rsidRPr="0007631D">
        <w:rPr>
          <w:sz w:val="24"/>
          <w:szCs w:val="24"/>
        </w:rPr>
        <w:fldChar w:fldCharType="begin"/>
      </w:r>
      <w:r w:rsidRPr="0007631D">
        <w:rPr>
          <w:sz w:val="24"/>
          <w:szCs w:val="24"/>
        </w:rPr>
        <w:instrText xml:space="preserve"> REF _Ref430766234 \r \h  \* MERGEFORMAT </w:instrText>
      </w:r>
      <w:r w:rsidRPr="0007631D">
        <w:rPr>
          <w:sz w:val="24"/>
          <w:szCs w:val="24"/>
        </w:rPr>
      </w:r>
      <w:r w:rsidRPr="0007631D">
        <w:rPr>
          <w:sz w:val="24"/>
          <w:szCs w:val="24"/>
        </w:rPr>
        <w:fldChar w:fldCharType="separate"/>
      </w:r>
      <w:r w:rsidR="00C135FC" w:rsidRPr="0007631D">
        <w:rPr>
          <w:sz w:val="24"/>
          <w:szCs w:val="24"/>
        </w:rPr>
        <w:t>[1]</w:t>
      </w:r>
      <w:r w:rsidRPr="0007631D">
        <w:rPr>
          <w:sz w:val="24"/>
          <w:szCs w:val="24"/>
        </w:rPr>
        <w:fldChar w:fldCharType="end"/>
      </w:r>
      <w:r w:rsidRPr="0007631D">
        <w:rPr>
          <w:sz w:val="24"/>
          <w:szCs w:val="24"/>
        </w:rPr>
        <w:t>. URLLC (</w:t>
      </w:r>
      <w:r w:rsidRPr="0007631D">
        <w:rPr>
          <w:color w:val="000000"/>
          <w:sz w:val="24"/>
          <w:szCs w:val="27"/>
        </w:rPr>
        <w:t>ultra-reliable low latency communication</w:t>
      </w:r>
      <w:r w:rsidRPr="0007631D">
        <w:rPr>
          <w:sz w:val="24"/>
          <w:szCs w:val="24"/>
        </w:rPr>
        <w:t>)</w:t>
      </w:r>
      <w:r w:rsidRPr="0007631D">
        <w:rPr>
          <w:noProof/>
          <w:sz w:val="24"/>
        </w:rPr>
        <w:t xml:space="preserve"> requirements has been discus</w:t>
      </w:r>
      <w:r w:rsidR="00BA1327" w:rsidRPr="0007631D">
        <w:rPr>
          <w:noProof/>
          <w:sz w:val="24"/>
        </w:rPr>
        <w:t>sed in RAN plen</w:t>
      </w:r>
      <w:r w:rsidR="00A30DAF">
        <w:rPr>
          <w:noProof/>
          <w:sz w:val="24"/>
        </w:rPr>
        <w:t xml:space="preserve">ary in June 2016. </w:t>
      </w:r>
      <w:r w:rsidR="00322219">
        <w:rPr>
          <w:noProof/>
          <w:sz w:val="24"/>
        </w:rPr>
        <w:t>Between</w:t>
      </w:r>
      <w:r w:rsidR="00A30DAF">
        <w:rPr>
          <w:noProof/>
          <w:sz w:val="24"/>
        </w:rPr>
        <w:t xml:space="preserve"> RAN1#86bis</w:t>
      </w:r>
      <w:r w:rsidR="00322219">
        <w:rPr>
          <w:noProof/>
          <w:sz w:val="24"/>
        </w:rPr>
        <w:t xml:space="preserve"> and </w:t>
      </w:r>
      <w:r w:rsidR="00B0326E">
        <w:rPr>
          <w:noProof/>
          <w:sz w:val="24"/>
        </w:rPr>
        <w:t xml:space="preserve">RAN1#90bis, </w:t>
      </w:r>
      <w:r w:rsidR="00BA1327" w:rsidRPr="0007631D">
        <w:rPr>
          <w:noProof/>
          <w:sz w:val="24"/>
        </w:rPr>
        <w:t xml:space="preserve">the following agreements were made regarding URLLC and eMBB </w:t>
      </w:r>
      <w:r w:rsidR="00BA1327" w:rsidRPr="00AC1525">
        <w:rPr>
          <w:noProof/>
          <w:sz w:val="24"/>
          <w:szCs w:val="24"/>
        </w:rPr>
        <w:t>multiplexing and mini-slot designs:</w:t>
      </w:r>
    </w:p>
    <w:p w14:paraId="10C6BFD0" w14:textId="77777777" w:rsidR="00BA1327" w:rsidRPr="005A5B54" w:rsidRDefault="00BA1327" w:rsidP="00BA1327">
      <w:pPr>
        <w:pStyle w:val="BodyText"/>
        <w:spacing w:after="0"/>
        <w:rPr>
          <w:rFonts w:ascii="Times New Roman" w:eastAsia="Malgun Gothic" w:hAnsi="Times New Roman"/>
          <w:b/>
          <w:szCs w:val="20"/>
          <w:highlight w:val="green"/>
          <w:u w:val="single"/>
          <w:lang w:eastAsia="ko-KR"/>
        </w:rPr>
      </w:pPr>
      <w:r w:rsidRPr="005A5B54">
        <w:rPr>
          <w:rFonts w:ascii="Times New Roman" w:eastAsia="Malgun Gothic" w:hAnsi="Times New Roman"/>
          <w:b/>
          <w:szCs w:val="20"/>
          <w:highlight w:val="green"/>
          <w:u w:val="single"/>
          <w:lang w:eastAsia="ko-KR"/>
        </w:rPr>
        <w:t>Agreements:</w:t>
      </w:r>
    </w:p>
    <w:p w14:paraId="33B9366D" w14:textId="77777777" w:rsidR="00BA1327" w:rsidRPr="005A5B54" w:rsidRDefault="00BA1327" w:rsidP="00754D51">
      <w:pPr>
        <w:pStyle w:val="BodyText"/>
        <w:numPr>
          <w:ilvl w:val="0"/>
          <w:numId w:val="6"/>
        </w:numPr>
        <w:overflowPunct/>
        <w:autoSpaceDE/>
        <w:autoSpaceDN/>
        <w:adjustRightInd/>
        <w:spacing w:after="0"/>
        <w:ind w:hanging="357"/>
        <w:textAlignment w:val="auto"/>
        <w:rPr>
          <w:rFonts w:ascii="Times New Roman" w:eastAsia="Malgun Gothic" w:hAnsi="Times New Roman"/>
          <w:szCs w:val="20"/>
          <w:lang w:eastAsia="ko-KR"/>
        </w:rPr>
      </w:pPr>
      <w:r w:rsidRPr="005A5B54">
        <w:rPr>
          <w:rFonts w:ascii="Times New Roman" w:eastAsia="Malgun Gothic" w:hAnsi="Times New Roman"/>
          <w:szCs w:val="20"/>
          <w:lang w:eastAsia="ko-KR"/>
        </w:rPr>
        <w:t xml:space="preserve">From network perspective, multiplexing of transmissions with different latency and/or reliability requirements for eMBB/URLLC in DL is supported by  </w:t>
      </w:r>
    </w:p>
    <w:p w14:paraId="6369BF59" w14:textId="77777777" w:rsidR="00BA1327" w:rsidRPr="005A5B54" w:rsidRDefault="00BA1327" w:rsidP="00754D51">
      <w:pPr>
        <w:pStyle w:val="BodyText"/>
        <w:numPr>
          <w:ilvl w:val="1"/>
          <w:numId w:val="6"/>
        </w:numPr>
        <w:overflowPunct/>
        <w:autoSpaceDE/>
        <w:autoSpaceDN/>
        <w:adjustRightInd/>
        <w:spacing w:after="0"/>
        <w:ind w:left="924" w:hanging="357"/>
        <w:textAlignment w:val="auto"/>
        <w:rPr>
          <w:rFonts w:ascii="Times New Roman" w:eastAsia="Malgun Gothic" w:hAnsi="Times New Roman"/>
          <w:szCs w:val="20"/>
          <w:lang w:eastAsia="ko-KR"/>
        </w:rPr>
      </w:pPr>
      <w:r w:rsidRPr="005A5B54">
        <w:rPr>
          <w:rFonts w:ascii="Times New Roman" w:eastAsia="Malgun Gothic" w:hAnsi="Times New Roman"/>
          <w:szCs w:val="20"/>
          <w:lang w:eastAsia="ko-KR"/>
        </w:rPr>
        <w:t>Using the same sub-carrier spacing with the same CP overhead</w:t>
      </w:r>
    </w:p>
    <w:p w14:paraId="6ADEABAC" w14:textId="77777777" w:rsidR="00BA1327" w:rsidRPr="005A5B54" w:rsidRDefault="00BA1327" w:rsidP="00754D51">
      <w:pPr>
        <w:pStyle w:val="BodyText"/>
        <w:numPr>
          <w:ilvl w:val="2"/>
          <w:numId w:val="6"/>
        </w:numPr>
        <w:overflowPunct/>
        <w:autoSpaceDE/>
        <w:autoSpaceDN/>
        <w:adjustRightInd/>
        <w:spacing w:after="0"/>
        <w:ind w:left="1491" w:hanging="357"/>
        <w:textAlignment w:val="auto"/>
        <w:rPr>
          <w:rFonts w:ascii="Times New Roman" w:eastAsia="Malgun Gothic" w:hAnsi="Times New Roman"/>
          <w:szCs w:val="20"/>
          <w:lang w:eastAsia="ko-KR"/>
        </w:rPr>
      </w:pPr>
      <w:r w:rsidRPr="005A5B54">
        <w:rPr>
          <w:rFonts w:ascii="Times New Roman" w:eastAsia="Malgun Gothic" w:hAnsi="Times New Roman"/>
          <w:szCs w:val="20"/>
          <w:lang w:eastAsia="ko-KR"/>
        </w:rPr>
        <w:t>FFS: different CP overhead</w:t>
      </w:r>
    </w:p>
    <w:p w14:paraId="7B6CC65D" w14:textId="77777777" w:rsidR="00BA1327" w:rsidRPr="005A5B54" w:rsidRDefault="00BA1327" w:rsidP="00754D51">
      <w:pPr>
        <w:pStyle w:val="BodyText"/>
        <w:numPr>
          <w:ilvl w:val="1"/>
          <w:numId w:val="6"/>
        </w:numPr>
        <w:overflowPunct/>
        <w:autoSpaceDE/>
        <w:autoSpaceDN/>
        <w:adjustRightInd/>
        <w:spacing w:after="0"/>
        <w:ind w:left="924" w:hanging="357"/>
        <w:textAlignment w:val="auto"/>
        <w:rPr>
          <w:rFonts w:ascii="Times New Roman" w:eastAsia="Malgun Gothic" w:hAnsi="Times New Roman"/>
          <w:szCs w:val="20"/>
          <w:lang w:eastAsia="ko-KR"/>
        </w:rPr>
      </w:pPr>
      <w:r w:rsidRPr="005A5B54">
        <w:rPr>
          <w:rFonts w:ascii="Times New Roman" w:eastAsia="Malgun Gothic" w:hAnsi="Times New Roman"/>
          <w:szCs w:val="20"/>
          <w:lang w:eastAsia="ko-KR"/>
        </w:rPr>
        <w:t xml:space="preserve">Using different sub-carrier spacing </w:t>
      </w:r>
    </w:p>
    <w:p w14:paraId="1702D8BF" w14:textId="77777777" w:rsidR="00BA1327" w:rsidRPr="005A5B54" w:rsidRDefault="00BA1327" w:rsidP="00754D51">
      <w:pPr>
        <w:pStyle w:val="BodyText"/>
        <w:numPr>
          <w:ilvl w:val="2"/>
          <w:numId w:val="6"/>
        </w:numPr>
        <w:overflowPunct/>
        <w:autoSpaceDE/>
        <w:autoSpaceDN/>
        <w:adjustRightInd/>
        <w:spacing w:after="0"/>
        <w:ind w:left="1491" w:hanging="357"/>
        <w:textAlignment w:val="auto"/>
        <w:rPr>
          <w:rFonts w:ascii="Times New Roman" w:eastAsia="Malgun Gothic" w:hAnsi="Times New Roman"/>
          <w:szCs w:val="20"/>
          <w:lang w:eastAsia="ko-KR"/>
        </w:rPr>
      </w:pPr>
      <w:r w:rsidRPr="005A5B54">
        <w:rPr>
          <w:rFonts w:ascii="Times New Roman" w:eastAsia="Malgun Gothic" w:hAnsi="Times New Roman"/>
          <w:szCs w:val="20"/>
          <w:lang w:eastAsia="ko-KR"/>
        </w:rPr>
        <w:t>FFS: CP overhead</w:t>
      </w:r>
    </w:p>
    <w:p w14:paraId="6341CDB5" w14:textId="77777777" w:rsidR="00BA1327" w:rsidRPr="005A5B54" w:rsidRDefault="00BA1327" w:rsidP="00754D51">
      <w:pPr>
        <w:pStyle w:val="BodyText"/>
        <w:numPr>
          <w:ilvl w:val="1"/>
          <w:numId w:val="6"/>
        </w:numPr>
        <w:overflowPunct/>
        <w:autoSpaceDE/>
        <w:autoSpaceDN/>
        <w:adjustRightInd/>
        <w:spacing w:after="0"/>
        <w:ind w:left="924" w:hanging="357"/>
        <w:textAlignment w:val="auto"/>
        <w:rPr>
          <w:rFonts w:ascii="Times New Roman" w:eastAsia="Malgun Gothic" w:hAnsi="Times New Roman"/>
          <w:szCs w:val="20"/>
          <w:lang w:eastAsia="ko-KR"/>
        </w:rPr>
      </w:pPr>
      <w:r w:rsidRPr="005A5B54">
        <w:rPr>
          <w:rFonts w:ascii="Times New Roman" w:eastAsia="Malgun Gothic" w:hAnsi="Times New Roman"/>
          <w:szCs w:val="20"/>
          <w:lang w:eastAsia="ko-KR"/>
        </w:rPr>
        <w:t>NR supports both approaches by specification</w:t>
      </w:r>
    </w:p>
    <w:p w14:paraId="5BDEE367" w14:textId="6E7D8D0A" w:rsidR="00BA1327" w:rsidRPr="005A5B54" w:rsidRDefault="00BA1327" w:rsidP="00BA1327">
      <w:pPr>
        <w:jc w:val="both"/>
        <w:rPr>
          <w:noProof/>
        </w:rPr>
      </w:pPr>
      <w:r w:rsidRPr="005A5B54">
        <w:rPr>
          <w:rFonts w:eastAsia="Malgun Gothic"/>
          <w:lang w:eastAsia="ko-KR"/>
        </w:rPr>
        <w:t>NR should support dynamic resource sharing between different latency and/or reliability requirements for eMBB/URLLC in DL</w:t>
      </w:r>
    </w:p>
    <w:p w14:paraId="32B69990" w14:textId="77777777" w:rsidR="00BA1327" w:rsidRPr="005A5B54" w:rsidRDefault="00BA1327" w:rsidP="00BA1327">
      <w:pPr>
        <w:rPr>
          <w:rFonts w:eastAsia="MS Mincho"/>
          <w:b/>
          <w:u w:val="single"/>
          <w:lang w:eastAsia="ja-JP"/>
        </w:rPr>
      </w:pPr>
      <w:r w:rsidRPr="005A5B54">
        <w:rPr>
          <w:rFonts w:eastAsia="MS Mincho"/>
          <w:b/>
          <w:highlight w:val="green"/>
          <w:u w:val="single"/>
          <w:lang w:eastAsia="ja-JP"/>
        </w:rPr>
        <w:t>Agreements:</w:t>
      </w:r>
    </w:p>
    <w:p w14:paraId="222E063A" w14:textId="77777777" w:rsidR="00BA1327" w:rsidRPr="005A5B54" w:rsidRDefault="00BA1327" w:rsidP="00754D51">
      <w:pPr>
        <w:numPr>
          <w:ilvl w:val="0"/>
          <w:numId w:val="5"/>
        </w:numPr>
        <w:overflowPunct/>
        <w:autoSpaceDE/>
        <w:autoSpaceDN/>
        <w:adjustRightInd/>
        <w:spacing w:after="0"/>
        <w:textAlignment w:val="auto"/>
        <w:rPr>
          <w:rFonts w:eastAsia="MS Mincho"/>
          <w:lang w:eastAsia="ja-JP"/>
        </w:rPr>
      </w:pPr>
      <w:r w:rsidRPr="005A5B54">
        <w:rPr>
          <w:rFonts w:eastAsia="MS Mincho"/>
          <w:lang w:eastAsia="ja-JP"/>
        </w:rPr>
        <w:t>For DL, dynamic resource sharing between URLLC and eMBB is supported by transmitting URLLC scheduled traffic</w:t>
      </w:r>
    </w:p>
    <w:p w14:paraId="4200B024" w14:textId="5AB19B89" w:rsidR="004C7A3A" w:rsidRPr="005A5B54" w:rsidRDefault="00BA1327" w:rsidP="00BA1327">
      <w:pPr>
        <w:rPr>
          <w:rFonts w:eastAsia="MS Mincho"/>
          <w:b/>
          <w:lang w:eastAsia="ja-JP"/>
        </w:rPr>
      </w:pPr>
      <w:r w:rsidRPr="005A5B54">
        <w:rPr>
          <w:rFonts w:eastAsia="MS Mincho"/>
          <w:lang w:eastAsia="ja-JP"/>
        </w:rPr>
        <w:t xml:space="preserve">URLLC transmission may occur in resources scheduled for </w:t>
      </w:r>
      <w:r w:rsidRPr="005A5B54">
        <w:rPr>
          <w:rFonts w:eastAsia="MS Mincho"/>
          <w:b/>
          <w:lang w:eastAsia="ja-JP"/>
        </w:rPr>
        <w:t>ongoing eMBB traffic</w:t>
      </w:r>
    </w:p>
    <w:p w14:paraId="53CBD8EA" w14:textId="77777777" w:rsidR="00F54B2E" w:rsidRPr="005A5B54" w:rsidRDefault="00F54B2E" w:rsidP="00F54B2E">
      <w:pPr>
        <w:rPr>
          <w:rFonts w:eastAsia="MS Mincho"/>
          <w:b/>
          <w:highlight w:val="yellow"/>
          <w:u w:val="single"/>
          <w:lang w:eastAsia="ja-JP"/>
        </w:rPr>
      </w:pPr>
      <w:r w:rsidRPr="005A5B54">
        <w:rPr>
          <w:rFonts w:eastAsia="MS Mincho"/>
          <w:b/>
          <w:highlight w:val="green"/>
          <w:u w:val="single"/>
          <w:lang w:eastAsia="ja-JP"/>
        </w:rPr>
        <w:t>Agreements:</w:t>
      </w:r>
    </w:p>
    <w:p w14:paraId="4E4D7534" w14:textId="77777777" w:rsidR="00F54B2E" w:rsidRPr="005A5B54" w:rsidRDefault="00F54B2E" w:rsidP="00754D51">
      <w:pPr>
        <w:numPr>
          <w:ilvl w:val="0"/>
          <w:numId w:val="7"/>
        </w:numPr>
        <w:overflowPunct/>
        <w:autoSpaceDE/>
        <w:autoSpaceDN/>
        <w:adjustRightInd/>
        <w:spacing w:after="0"/>
        <w:textAlignment w:val="auto"/>
        <w:rPr>
          <w:rFonts w:eastAsia="MS Mincho"/>
          <w:lang w:eastAsia="ja-JP"/>
        </w:rPr>
      </w:pPr>
      <w:r w:rsidRPr="005A5B54">
        <w:rPr>
          <w:rFonts w:eastAsia="MS Mincho"/>
          <w:lang w:eastAsia="ja-JP"/>
        </w:rPr>
        <w:t xml:space="preserve">For DL, </w:t>
      </w:r>
      <w:r w:rsidRPr="005A5B54">
        <w:rPr>
          <w:rFonts w:eastAsia="MS Mincho"/>
          <w:b/>
          <w:lang w:eastAsia="ja-JP"/>
        </w:rPr>
        <w:t>support indication</w:t>
      </w:r>
      <w:r w:rsidRPr="005A5B54">
        <w:rPr>
          <w:rFonts w:eastAsia="MS Mincho"/>
          <w:lang w:eastAsia="ja-JP"/>
        </w:rPr>
        <w:t xml:space="preserve"> of time and/or frequency region </w:t>
      </w:r>
      <w:r w:rsidRPr="005A5B54">
        <w:rPr>
          <w:rFonts w:eastAsia="MS Mincho"/>
          <w:b/>
          <w:lang w:eastAsia="ja-JP"/>
        </w:rPr>
        <w:t>of impacted eMBB resources</w:t>
      </w:r>
      <w:r w:rsidRPr="005A5B54">
        <w:rPr>
          <w:rFonts w:eastAsia="MS Mincho"/>
          <w:lang w:eastAsia="ja-JP"/>
        </w:rPr>
        <w:t xml:space="preserve"> to respective eMBB UE(s)</w:t>
      </w:r>
    </w:p>
    <w:p w14:paraId="0C9630D3" w14:textId="77777777" w:rsidR="00F54B2E" w:rsidRPr="005A5B54" w:rsidRDefault="00F54B2E" w:rsidP="00754D51">
      <w:pPr>
        <w:numPr>
          <w:ilvl w:val="1"/>
          <w:numId w:val="7"/>
        </w:numPr>
        <w:overflowPunct/>
        <w:autoSpaceDE/>
        <w:autoSpaceDN/>
        <w:adjustRightInd/>
        <w:spacing w:after="0"/>
        <w:textAlignment w:val="auto"/>
        <w:rPr>
          <w:rFonts w:eastAsia="MS Mincho"/>
          <w:lang w:eastAsia="ja-JP"/>
        </w:rPr>
      </w:pPr>
      <w:r w:rsidRPr="005A5B54">
        <w:rPr>
          <w:rFonts w:eastAsia="MS Mincho"/>
          <w:lang w:eastAsia="ja-JP"/>
        </w:rPr>
        <w:t xml:space="preserve">FFS: Details of  the granularity for impacted region used in the indication </w:t>
      </w:r>
    </w:p>
    <w:p w14:paraId="78DBB576" w14:textId="77777777" w:rsidR="00F54B2E" w:rsidRPr="005A5B54" w:rsidRDefault="00F54B2E" w:rsidP="00754D51">
      <w:pPr>
        <w:numPr>
          <w:ilvl w:val="2"/>
          <w:numId w:val="7"/>
        </w:numPr>
        <w:overflowPunct/>
        <w:autoSpaceDE/>
        <w:autoSpaceDN/>
        <w:adjustRightInd/>
        <w:spacing w:after="0"/>
        <w:textAlignment w:val="auto"/>
        <w:rPr>
          <w:rFonts w:eastAsia="MS Mincho"/>
          <w:lang w:eastAsia="ja-JP"/>
        </w:rPr>
      </w:pPr>
      <w:r w:rsidRPr="005A5B54">
        <w:rPr>
          <w:rFonts w:eastAsia="MS Mincho"/>
          <w:lang w:eastAsia="ja-JP"/>
        </w:rPr>
        <w:t>e.g., PRB (group)/symbol (group)/mini-slot (group)/CB (group)/TB/Slot</w:t>
      </w:r>
    </w:p>
    <w:p w14:paraId="1FCD7385" w14:textId="77777777" w:rsidR="00F54B2E" w:rsidRPr="005A5B54" w:rsidRDefault="00F54B2E" w:rsidP="00754D51">
      <w:pPr>
        <w:numPr>
          <w:ilvl w:val="1"/>
          <w:numId w:val="7"/>
        </w:numPr>
        <w:overflowPunct/>
        <w:autoSpaceDE/>
        <w:autoSpaceDN/>
        <w:adjustRightInd/>
        <w:spacing w:after="0"/>
        <w:textAlignment w:val="auto"/>
        <w:rPr>
          <w:rFonts w:eastAsia="MS Mincho"/>
          <w:lang w:eastAsia="ja-JP"/>
        </w:rPr>
      </w:pPr>
      <w:r w:rsidRPr="005A5B54">
        <w:rPr>
          <w:rFonts w:eastAsia="MS Mincho"/>
          <w:lang w:eastAsia="ja-JP"/>
        </w:rPr>
        <w:t>The indication is transmitted at one of the following (will be down selected later)</w:t>
      </w:r>
    </w:p>
    <w:p w14:paraId="27D56E57" w14:textId="77777777" w:rsidR="00F54B2E" w:rsidRPr="005A5B54" w:rsidRDefault="00F54B2E" w:rsidP="00754D51">
      <w:pPr>
        <w:numPr>
          <w:ilvl w:val="2"/>
          <w:numId w:val="7"/>
        </w:numPr>
        <w:overflowPunct/>
        <w:autoSpaceDE/>
        <w:autoSpaceDN/>
        <w:adjustRightInd/>
        <w:spacing w:after="0"/>
        <w:textAlignment w:val="auto"/>
        <w:rPr>
          <w:rFonts w:eastAsia="MS Mincho"/>
          <w:lang w:eastAsia="ja-JP"/>
        </w:rPr>
      </w:pPr>
      <w:r w:rsidRPr="005A5B54">
        <w:rPr>
          <w:rFonts w:eastAsia="MS Mincho"/>
          <w:lang w:eastAsia="ja-JP"/>
        </w:rPr>
        <w:t>during current eMBB TTI</w:t>
      </w:r>
    </w:p>
    <w:p w14:paraId="41F6BBD9" w14:textId="77777777" w:rsidR="00F54B2E" w:rsidRPr="005A5B54" w:rsidRDefault="00F54B2E" w:rsidP="00754D51">
      <w:pPr>
        <w:numPr>
          <w:ilvl w:val="2"/>
          <w:numId w:val="7"/>
        </w:numPr>
        <w:overflowPunct/>
        <w:autoSpaceDE/>
        <w:autoSpaceDN/>
        <w:adjustRightInd/>
        <w:spacing w:after="0"/>
        <w:textAlignment w:val="auto"/>
        <w:rPr>
          <w:rFonts w:eastAsia="MS Mincho"/>
          <w:lang w:eastAsia="ja-JP"/>
        </w:rPr>
      </w:pPr>
      <w:r w:rsidRPr="005A5B54">
        <w:rPr>
          <w:rFonts w:eastAsia="MS Mincho"/>
          <w:lang w:eastAsia="ja-JP"/>
        </w:rPr>
        <w:t>after current eMBB TTI</w:t>
      </w:r>
    </w:p>
    <w:p w14:paraId="31914F2C" w14:textId="77777777" w:rsidR="00F54B2E" w:rsidRPr="005A5B54" w:rsidRDefault="00F54B2E" w:rsidP="00754D51">
      <w:pPr>
        <w:numPr>
          <w:ilvl w:val="2"/>
          <w:numId w:val="7"/>
        </w:numPr>
        <w:overflowPunct/>
        <w:autoSpaceDE/>
        <w:autoSpaceDN/>
        <w:adjustRightInd/>
        <w:spacing w:after="0"/>
        <w:textAlignment w:val="auto"/>
        <w:rPr>
          <w:rFonts w:eastAsia="MS Mincho"/>
          <w:lang w:eastAsia="ja-JP"/>
        </w:rPr>
      </w:pPr>
      <w:r w:rsidRPr="005A5B54">
        <w:rPr>
          <w:rFonts w:eastAsia="MS Mincho"/>
          <w:lang w:eastAsia="ja-JP"/>
        </w:rPr>
        <w:t>during  and after current eMBB TTI</w:t>
      </w:r>
    </w:p>
    <w:p w14:paraId="2E970E92" w14:textId="77777777" w:rsidR="00F54B2E" w:rsidRPr="005A5B54" w:rsidRDefault="00F54B2E" w:rsidP="00754D51">
      <w:pPr>
        <w:numPr>
          <w:ilvl w:val="1"/>
          <w:numId w:val="7"/>
        </w:numPr>
        <w:overflowPunct/>
        <w:autoSpaceDE/>
        <w:autoSpaceDN/>
        <w:adjustRightInd/>
        <w:spacing w:after="0"/>
        <w:textAlignment w:val="auto"/>
        <w:rPr>
          <w:rFonts w:eastAsia="MS Mincho"/>
          <w:lang w:eastAsia="ja-JP"/>
        </w:rPr>
      </w:pPr>
      <w:r w:rsidRPr="005A5B54">
        <w:rPr>
          <w:rFonts w:eastAsia="MS Mincho"/>
          <w:lang w:eastAsia="ja-JP"/>
        </w:rPr>
        <w:t>The indication is one of the following (will be down selected later)</w:t>
      </w:r>
    </w:p>
    <w:p w14:paraId="7416CABB" w14:textId="77777777" w:rsidR="00F54B2E" w:rsidRPr="005A5B54" w:rsidRDefault="00F54B2E" w:rsidP="00754D51">
      <w:pPr>
        <w:numPr>
          <w:ilvl w:val="2"/>
          <w:numId w:val="7"/>
        </w:numPr>
        <w:overflowPunct/>
        <w:autoSpaceDE/>
        <w:autoSpaceDN/>
        <w:adjustRightInd/>
        <w:spacing w:after="0"/>
        <w:textAlignment w:val="auto"/>
        <w:rPr>
          <w:rFonts w:eastAsia="MS Mincho"/>
          <w:lang w:eastAsia="ja-JP"/>
        </w:rPr>
      </w:pPr>
      <w:r w:rsidRPr="005A5B54">
        <w:rPr>
          <w:rFonts w:eastAsia="MS Mincho"/>
          <w:lang w:eastAsia="ja-JP"/>
        </w:rPr>
        <w:t>explicit</w:t>
      </w:r>
    </w:p>
    <w:p w14:paraId="296C6404" w14:textId="77777777" w:rsidR="00F54B2E" w:rsidRPr="005A5B54" w:rsidRDefault="00F54B2E" w:rsidP="00754D51">
      <w:pPr>
        <w:numPr>
          <w:ilvl w:val="2"/>
          <w:numId w:val="7"/>
        </w:numPr>
        <w:overflowPunct/>
        <w:autoSpaceDE/>
        <w:autoSpaceDN/>
        <w:adjustRightInd/>
        <w:spacing w:after="0"/>
        <w:textAlignment w:val="auto"/>
        <w:rPr>
          <w:rFonts w:eastAsia="MS Mincho"/>
          <w:lang w:eastAsia="ja-JP"/>
        </w:rPr>
      </w:pPr>
      <w:r w:rsidRPr="005A5B54">
        <w:rPr>
          <w:rFonts w:eastAsia="MS Mincho"/>
          <w:lang w:eastAsia="ja-JP"/>
        </w:rPr>
        <w:t>implicit</w:t>
      </w:r>
    </w:p>
    <w:p w14:paraId="3E45BF80" w14:textId="77777777" w:rsidR="00F54B2E" w:rsidRPr="005A5B54" w:rsidRDefault="00F54B2E" w:rsidP="00754D51">
      <w:pPr>
        <w:numPr>
          <w:ilvl w:val="2"/>
          <w:numId w:val="7"/>
        </w:numPr>
        <w:overflowPunct/>
        <w:autoSpaceDE/>
        <w:autoSpaceDN/>
        <w:adjustRightInd/>
        <w:spacing w:after="0"/>
        <w:textAlignment w:val="auto"/>
        <w:rPr>
          <w:rFonts w:eastAsia="MS Mincho"/>
          <w:b/>
          <w:lang w:eastAsia="ja-JP"/>
        </w:rPr>
      </w:pPr>
      <w:r w:rsidRPr="005A5B54">
        <w:rPr>
          <w:rFonts w:eastAsia="MS Mincho"/>
          <w:lang w:eastAsia="ja-JP"/>
        </w:rPr>
        <w:t>explicit and implicit</w:t>
      </w:r>
    </w:p>
    <w:p w14:paraId="4C98AABD" w14:textId="77777777" w:rsidR="00E847BF" w:rsidRPr="005A5B54" w:rsidRDefault="00E847BF" w:rsidP="00E847BF">
      <w:pPr>
        <w:rPr>
          <w:rFonts w:eastAsia="MS Mincho"/>
          <w:b/>
          <w:u w:val="single"/>
          <w:lang w:eastAsia="ja-JP"/>
        </w:rPr>
      </w:pPr>
      <w:r w:rsidRPr="005A5B54">
        <w:rPr>
          <w:rFonts w:eastAsia="MS Mincho"/>
          <w:b/>
          <w:highlight w:val="green"/>
          <w:u w:val="single"/>
          <w:lang w:eastAsia="ja-JP"/>
        </w:rPr>
        <w:t>Agreements</w:t>
      </w:r>
      <w:r w:rsidRPr="005A5B54">
        <w:rPr>
          <w:rFonts w:eastAsia="MS Mincho"/>
          <w:b/>
          <w:u w:val="single"/>
          <w:lang w:eastAsia="ja-JP"/>
        </w:rPr>
        <w:t>:</w:t>
      </w:r>
    </w:p>
    <w:p w14:paraId="17DAF16D" w14:textId="77777777" w:rsidR="00E847BF" w:rsidRPr="005A5B54" w:rsidRDefault="00E847BF" w:rsidP="00E847BF">
      <w:pPr>
        <w:numPr>
          <w:ilvl w:val="0"/>
          <w:numId w:val="12"/>
        </w:numPr>
        <w:overflowPunct/>
        <w:autoSpaceDE/>
        <w:autoSpaceDN/>
        <w:adjustRightInd/>
        <w:spacing w:after="0" w:line="259" w:lineRule="auto"/>
        <w:textAlignment w:val="auto"/>
        <w:rPr>
          <w:rFonts w:eastAsia="MS Mincho"/>
          <w:lang w:eastAsia="ja-JP"/>
        </w:rPr>
      </w:pPr>
      <w:r w:rsidRPr="005A5B54">
        <w:rPr>
          <w:rFonts w:eastAsia="MS Mincho"/>
          <w:lang w:eastAsia="ja-JP"/>
        </w:rPr>
        <w:t>Indication of URLLC transmission overlapping the resources scheduled for an eMBB UE in downlink can be dynamically signaled to the eMBB UE to facilitate demodulation and decoding</w:t>
      </w:r>
    </w:p>
    <w:p w14:paraId="456C9121" w14:textId="77777777" w:rsidR="00E847BF" w:rsidRPr="005A5B54" w:rsidRDefault="00E847BF" w:rsidP="00E847BF">
      <w:pPr>
        <w:numPr>
          <w:ilvl w:val="1"/>
          <w:numId w:val="12"/>
        </w:numPr>
        <w:overflowPunct/>
        <w:autoSpaceDE/>
        <w:autoSpaceDN/>
        <w:adjustRightInd/>
        <w:spacing w:after="0" w:line="259" w:lineRule="auto"/>
        <w:textAlignment w:val="auto"/>
        <w:rPr>
          <w:rFonts w:eastAsia="MS Mincho"/>
          <w:lang w:eastAsia="ja-JP"/>
        </w:rPr>
      </w:pPr>
      <w:r w:rsidRPr="005A5B54">
        <w:rPr>
          <w:rFonts w:eastAsia="MS Mincho"/>
          <w:lang w:eastAsia="ja-JP"/>
        </w:rPr>
        <w:t>FFS details</w:t>
      </w:r>
    </w:p>
    <w:p w14:paraId="7108711B" w14:textId="77777777" w:rsidR="00E847BF" w:rsidRPr="005A5B54" w:rsidRDefault="00E847BF" w:rsidP="00E847BF">
      <w:pPr>
        <w:rPr>
          <w:rFonts w:eastAsia="MS Mincho"/>
          <w:b/>
          <w:highlight w:val="yellow"/>
          <w:u w:val="single"/>
          <w:lang w:eastAsia="ja-JP"/>
        </w:rPr>
      </w:pPr>
      <w:r w:rsidRPr="005A5B54">
        <w:rPr>
          <w:rFonts w:eastAsia="MS Mincho"/>
          <w:b/>
          <w:highlight w:val="green"/>
          <w:u w:val="single"/>
          <w:lang w:eastAsia="ja-JP"/>
        </w:rPr>
        <w:lastRenderedPageBreak/>
        <w:t>Agreements:</w:t>
      </w:r>
    </w:p>
    <w:p w14:paraId="6BE81C01" w14:textId="77777777" w:rsidR="00E847BF" w:rsidRPr="005A5B54" w:rsidRDefault="00E847BF" w:rsidP="00E847BF">
      <w:pPr>
        <w:numPr>
          <w:ilvl w:val="0"/>
          <w:numId w:val="12"/>
        </w:numPr>
        <w:overflowPunct/>
        <w:autoSpaceDE/>
        <w:autoSpaceDN/>
        <w:adjustRightInd/>
        <w:spacing w:after="0" w:line="259" w:lineRule="auto"/>
        <w:textAlignment w:val="auto"/>
        <w:rPr>
          <w:rFonts w:eastAsia="MS Mincho"/>
          <w:lang w:eastAsia="ja-JP"/>
        </w:rPr>
      </w:pPr>
      <w:r w:rsidRPr="005A5B54">
        <w:rPr>
          <w:rFonts w:eastAsia="MS Mincho"/>
          <w:lang w:eastAsia="ja-JP"/>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14:paraId="428754AA" w14:textId="77777777" w:rsidR="00E847BF" w:rsidRPr="005A5B54" w:rsidRDefault="00E847BF" w:rsidP="00E847BF">
      <w:pPr>
        <w:numPr>
          <w:ilvl w:val="0"/>
          <w:numId w:val="12"/>
        </w:numPr>
        <w:overflowPunct/>
        <w:autoSpaceDE/>
        <w:autoSpaceDN/>
        <w:adjustRightInd/>
        <w:spacing w:after="0" w:line="259" w:lineRule="auto"/>
        <w:textAlignment w:val="auto"/>
        <w:rPr>
          <w:rFonts w:eastAsia="MS Mincho"/>
          <w:lang w:eastAsia="ja-JP"/>
        </w:rPr>
      </w:pPr>
      <w:r w:rsidRPr="005A5B54">
        <w:rPr>
          <w:rFonts w:eastAsia="MS Mincho"/>
          <w:lang w:eastAsia="ja-JP"/>
        </w:rPr>
        <w:t>The indication may be used to increase the likelihood of successful demodulation and decoding of the transport block based on the pre-empted transmission and/or subsequent (re)-transmissions of the same TB</w:t>
      </w:r>
    </w:p>
    <w:p w14:paraId="08D80583" w14:textId="5AE92FAB" w:rsidR="00E81645" w:rsidRPr="005A5B54" w:rsidRDefault="00E81645" w:rsidP="000A30DE"/>
    <w:p w14:paraId="630DEB27" w14:textId="77777777" w:rsidR="00800B35" w:rsidRPr="005A5B54" w:rsidRDefault="00800B35" w:rsidP="00800B35">
      <w:pPr>
        <w:rPr>
          <w:rFonts w:eastAsia="MS Mincho"/>
          <w:b/>
          <w:highlight w:val="yellow"/>
          <w:u w:val="single"/>
          <w:lang w:eastAsia="ja-JP"/>
        </w:rPr>
      </w:pPr>
      <w:r w:rsidRPr="005A5B54">
        <w:rPr>
          <w:rFonts w:eastAsia="MS Mincho"/>
          <w:b/>
          <w:highlight w:val="green"/>
          <w:u w:val="single"/>
          <w:lang w:eastAsia="ja-JP"/>
        </w:rPr>
        <w:t>Agreements:</w:t>
      </w:r>
    </w:p>
    <w:p w14:paraId="5B6F60BE" w14:textId="77777777" w:rsidR="00766A9E" w:rsidRPr="005A5B54" w:rsidRDefault="00766A9E" w:rsidP="00754D51">
      <w:pPr>
        <w:pStyle w:val="BodyText"/>
        <w:numPr>
          <w:ilvl w:val="0"/>
          <w:numId w:val="6"/>
        </w:numPr>
        <w:overflowPunct/>
        <w:autoSpaceDE/>
        <w:autoSpaceDN/>
        <w:adjustRightInd/>
        <w:spacing w:after="0"/>
        <w:ind w:hanging="357"/>
        <w:textAlignment w:val="auto"/>
        <w:rPr>
          <w:rFonts w:ascii="Times New Roman" w:eastAsia="Malgun Gothic" w:hAnsi="Times New Roman"/>
          <w:color w:val="000000" w:themeColor="text1"/>
          <w:szCs w:val="20"/>
          <w:lang w:eastAsia="ko-KR"/>
        </w:rPr>
      </w:pPr>
      <w:r w:rsidRPr="005A5B54">
        <w:rPr>
          <w:rFonts w:ascii="Times New Roman" w:eastAsia="Malgun Gothic" w:hAnsi="Times New Roman"/>
          <w:color w:val="000000" w:themeColor="text1"/>
          <w:szCs w:val="20"/>
          <w:lang w:eastAsia="ko-KR"/>
        </w:rPr>
        <w:t xml:space="preserve">No new physical channel specific for indication of DL resources being preempted by another DL transmission is introduced </w:t>
      </w:r>
    </w:p>
    <w:p w14:paraId="5ADF4631" w14:textId="77777777" w:rsidR="00766A9E" w:rsidRPr="005A5B54" w:rsidRDefault="00766A9E" w:rsidP="00754D51">
      <w:pPr>
        <w:pStyle w:val="BodyText"/>
        <w:numPr>
          <w:ilvl w:val="1"/>
          <w:numId w:val="6"/>
        </w:numPr>
        <w:overflowPunct/>
        <w:autoSpaceDE/>
        <w:autoSpaceDN/>
        <w:adjustRightInd/>
        <w:spacing w:after="0"/>
        <w:textAlignment w:val="auto"/>
        <w:rPr>
          <w:rFonts w:ascii="Times New Roman" w:eastAsia="Malgun Gothic" w:hAnsi="Times New Roman"/>
          <w:color w:val="000000" w:themeColor="text1"/>
          <w:szCs w:val="20"/>
          <w:lang w:eastAsia="ko-KR"/>
        </w:rPr>
      </w:pPr>
      <w:r w:rsidRPr="005A5B54">
        <w:rPr>
          <w:rFonts w:ascii="Times New Roman" w:eastAsia="Malgun Gothic" w:hAnsi="Times New Roman"/>
          <w:color w:val="000000" w:themeColor="text1"/>
          <w:szCs w:val="20"/>
          <w:lang w:eastAsia="ko-KR"/>
        </w:rPr>
        <w:t>FFS whether the indication is based on NR-PDCCH or a group common PDCCH</w:t>
      </w:r>
    </w:p>
    <w:p w14:paraId="4294B897" w14:textId="77777777" w:rsidR="00766A9E" w:rsidRPr="005A5B54" w:rsidRDefault="00766A9E" w:rsidP="00754D51">
      <w:pPr>
        <w:pStyle w:val="BodyText"/>
        <w:numPr>
          <w:ilvl w:val="1"/>
          <w:numId w:val="6"/>
        </w:numPr>
        <w:overflowPunct/>
        <w:autoSpaceDE/>
        <w:autoSpaceDN/>
        <w:adjustRightInd/>
        <w:spacing w:after="0"/>
        <w:textAlignment w:val="auto"/>
        <w:rPr>
          <w:rFonts w:ascii="Times New Roman" w:eastAsia="Malgun Gothic" w:hAnsi="Times New Roman"/>
          <w:color w:val="000000" w:themeColor="text1"/>
          <w:szCs w:val="20"/>
          <w:lang w:eastAsia="ko-KR"/>
        </w:rPr>
      </w:pPr>
      <w:r w:rsidRPr="005A5B54">
        <w:rPr>
          <w:rFonts w:ascii="Times New Roman" w:eastAsia="Malgun Gothic" w:hAnsi="Times New Roman"/>
          <w:color w:val="000000" w:themeColor="text1"/>
          <w:szCs w:val="20"/>
          <w:lang w:eastAsia="ko-KR"/>
        </w:rPr>
        <w:t>FFS location of the indication</w:t>
      </w:r>
    </w:p>
    <w:p w14:paraId="577EA1EB" w14:textId="7869895F" w:rsidR="00290B24" w:rsidRPr="005A5B54" w:rsidRDefault="00766A9E" w:rsidP="00290B24">
      <w:pPr>
        <w:pStyle w:val="BodyText"/>
        <w:numPr>
          <w:ilvl w:val="1"/>
          <w:numId w:val="6"/>
        </w:numPr>
        <w:overflowPunct/>
        <w:autoSpaceDE/>
        <w:autoSpaceDN/>
        <w:adjustRightInd/>
        <w:spacing w:after="0"/>
        <w:textAlignment w:val="auto"/>
        <w:rPr>
          <w:rFonts w:ascii="Times New Roman" w:eastAsia="Malgun Gothic" w:hAnsi="Times New Roman"/>
          <w:color w:val="000000" w:themeColor="text1"/>
          <w:szCs w:val="20"/>
          <w:lang w:eastAsia="ko-KR"/>
        </w:rPr>
      </w:pPr>
      <w:r w:rsidRPr="005A5B54">
        <w:rPr>
          <w:rFonts w:ascii="Times New Roman" w:eastAsia="Malgun Gothic" w:hAnsi="Times New Roman"/>
          <w:color w:val="000000" w:themeColor="text1"/>
          <w:szCs w:val="20"/>
          <w:lang w:eastAsia="ko-KR"/>
        </w:rPr>
        <w:t>FFS timing of the indication</w:t>
      </w:r>
    </w:p>
    <w:p w14:paraId="6D2F3448" w14:textId="77777777" w:rsidR="00290B24" w:rsidRPr="005A5B54" w:rsidRDefault="00290B24" w:rsidP="00290B24">
      <w:pPr>
        <w:pStyle w:val="BodyText"/>
        <w:overflowPunct/>
        <w:autoSpaceDE/>
        <w:autoSpaceDN/>
        <w:adjustRightInd/>
        <w:spacing w:after="0"/>
        <w:textAlignment w:val="auto"/>
        <w:rPr>
          <w:rFonts w:ascii="Times New Roman" w:eastAsia="Malgun Gothic" w:hAnsi="Times New Roman"/>
          <w:color w:val="000000" w:themeColor="text1"/>
          <w:szCs w:val="20"/>
          <w:lang w:eastAsia="ko-KR"/>
        </w:rPr>
      </w:pPr>
    </w:p>
    <w:p w14:paraId="7687D14C" w14:textId="77777777" w:rsidR="00290B24" w:rsidRPr="005A5B54" w:rsidRDefault="00290B24" w:rsidP="00290B24">
      <w:pPr>
        <w:rPr>
          <w:lang w:eastAsia="x-none"/>
        </w:rPr>
      </w:pPr>
      <w:r w:rsidRPr="005A5B54">
        <w:rPr>
          <w:rFonts w:eastAsia="MS Mincho"/>
          <w:b/>
          <w:highlight w:val="green"/>
          <w:u w:val="single"/>
          <w:lang w:eastAsia="ja-JP"/>
        </w:rPr>
        <w:t>Agreements</w:t>
      </w:r>
      <w:r w:rsidRPr="005A5B54">
        <w:rPr>
          <w:lang w:eastAsia="x-none"/>
        </w:rPr>
        <w:t>:</w:t>
      </w:r>
    </w:p>
    <w:p w14:paraId="53755801" w14:textId="77777777" w:rsidR="00290B24" w:rsidRPr="005A5B54" w:rsidRDefault="00290B24" w:rsidP="00290B24">
      <w:pPr>
        <w:numPr>
          <w:ilvl w:val="3"/>
          <w:numId w:val="9"/>
        </w:numPr>
        <w:overflowPunct/>
        <w:autoSpaceDE/>
        <w:autoSpaceDN/>
        <w:adjustRightInd/>
        <w:spacing w:after="0"/>
        <w:textAlignment w:val="auto"/>
        <w:rPr>
          <w:rFonts w:eastAsia="Malgun Gothic"/>
          <w:color w:val="000000" w:themeColor="text1"/>
          <w:lang w:eastAsia="ko-KR"/>
        </w:rPr>
      </w:pPr>
      <w:r w:rsidRPr="005A5B54">
        <w:rPr>
          <w:rFonts w:eastAsia="Malgun Gothic"/>
          <w:color w:val="000000" w:themeColor="text1"/>
          <w:lang w:eastAsia="ko-KR"/>
        </w:rPr>
        <w:t>The minimum periodicity for UE to monitor group common DCI for DL preemption indication is down-selected between</w:t>
      </w:r>
    </w:p>
    <w:p w14:paraId="57BE00E5" w14:textId="77777777" w:rsidR="00290B24" w:rsidRPr="005A5B54" w:rsidRDefault="00290B24" w:rsidP="00290B24">
      <w:pPr>
        <w:numPr>
          <w:ilvl w:val="5"/>
          <w:numId w:val="9"/>
        </w:numPr>
        <w:overflowPunct/>
        <w:autoSpaceDE/>
        <w:autoSpaceDN/>
        <w:adjustRightInd/>
        <w:spacing w:after="0"/>
        <w:textAlignment w:val="auto"/>
        <w:rPr>
          <w:rFonts w:eastAsia="Malgun Gothic"/>
          <w:color w:val="000000" w:themeColor="text1"/>
          <w:lang w:eastAsia="ko-KR"/>
        </w:rPr>
      </w:pPr>
      <w:r w:rsidRPr="005A5B54">
        <w:rPr>
          <w:rFonts w:eastAsia="Malgun Gothic"/>
          <w:color w:val="000000" w:themeColor="text1"/>
          <w:lang w:eastAsia="ko-KR"/>
        </w:rPr>
        <w:t>Option 1: one slot</w:t>
      </w:r>
    </w:p>
    <w:p w14:paraId="2F352590" w14:textId="77777777" w:rsidR="00290B24" w:rsidRPr="005A5B54" w:rsidRDefault="00290B24" w:rsidP="00290B24">
      <w:pPr>
        <w:numPr>
          <w:ilvl w:val="5"/>
          <w:numId w:val="9"/>
        </w:numPr>
        <w:overflowPunct/>
        <w:autoSpaceDE/>
        <w:autoSpaceDN/>
        <w:adjustRightInd/>
        <w:spacing w:after="0"/>
        <w:textAlignment w:val="auto"/>
        <w:rPr>
          <w:rFonts w:eastAsia="Malgun Gothic"/>
          <w:color w:val="000000" w:themeColor="text1"/>
          <w:lang w:eastAsia="ko-KR"/>
        </w:rPr>
      </w:pPr>
      <w:r w:rsidRPr="005A5B54">
        <w:rPr>
          <w:rFonts w:eastAsia="Malgun Gothic"/>
          <w:color w:val="000000" w:themeColor="text1"/>
          <w:lang w:eastAsia="ko-KR"/>
        </w:rPr>
        <w:t>Option 2: less than a slot</w:t>
      </w:r>
    </w:p>
    <w:p w14:paraId="4D853BFD" w14:textId="77777777" w:rsidR="00E847BF" w:rsidRPr="005A5B54" w:rsidRDefault="00E847BF" w:rsidP="00E847BF">
      <w:pPr>
        <w:rPr>
          <w:b/>
          <w:highlight w:val="green"/>
          <w:u w:val="single"/>
          <w:lang w:eastAsia="x-none"/>
        </w:rPr>
      </w:pPr>
      <w:r w:rsidRPr="005A5B54">
        <w:rPr>
          <w:b/>
          <w:highlight w:val="green"/>
          <w:u w:val="single"/>
          <w:lang w:eastAsia="x-none"/>
        </w:rPr>
        <w:t>Agreements:</w:t>
      </w:r>
    </w:p>
    <w:p w14:paraId="0B5B3C58" w14:textId="77777777" w:rsidR="00E847BF" w:rsidRPr="005A5B54" w:rsidRDefault="00E847BF" w:rsidP="00E847BF">
      <w:pPr>
        <w:numPr>
          <w:ilvl w:val="3"/>
          <w:numId w:val="9"/>
        </w:numPr>
        <w:overflowPunct/>
        <w:autoSpaceDE/>
        <w:autoSpaceDN/>
        <w:adjustRightInd/>
        <w:spacing w:after="0"/>
        <w:textAlignment w:val="auto"/>
        <w:rPr>
          <w:lang w:eastAsia="zh-CN"/>
        </w:rPr>
      </w:pPr>
      <w:r w:rsidRPr="005A5B54">
        <w:t>The time duration of the reference downlink resource for pre</w:t>
      </w:r>
      <w:r w:rsidRPr="005A5B54">
        <w:rPr>
          <w:lang w:eastAsia="zh-CN"/>
        </w:rPr>
        <w:t>-</w:t>
      </w:r>
      <w:r w:rsidRPr="005A5B54">
        <w:t>emption indication equals to the monitoring periodicity of the group-common DCI carrying the pre</w:t>
      </w:r>
      <w:r w:rsidRPr="005A5B54">
        <w:rPr>
          <w:lang w:eastAsia="zh-CN"/>
        </w:rPr>
        <w:t>-</w:t>
      </w:r>
      <w:r w:rsidRPr="005A5B54">
        <w:t>emption indication</w:t>
      </w:r>
      <w:r w:rsidRPr="005A5B54">
        <w:rPr>
          <w:lang w:eastAsia="zh-CN"/>
        </w:rPr>
        <w:t xml:space="preserve"> </w:t>
      </w:r>
    </w:p>
    <w:p w14:paraId="4626B0DE" w14:textId="77777777" w:rsidR="00E847BF" w:rsidRPr="005A5B54" w:rsidRDefault="00E847BF" w:rsidP="00E847BF">
      <w:pPr>
        <w:numPr>
          <w:ilvl w:val="4"/>
          <w:numId w:val="9"/>
        </w:numPr>
        <w:overflowPunct/>
        <w:autoSpaceDE/>
        <w:autoSpaceDN/>
        <w:adjustRightInd/>
        <w:spacing w:after="0"/>
        <w:textAlignment w:val="auto"/>
        <w:rPr>
          <w:lang w:eastAsia="zh-CN"/>
        </w:rPr>
      </w:pPr>
      <w:r w:rsidRPr="005A5B54">
        <w:rPr>
          <w:lang w:eastAsia="zh-CN"/>
        </w:rPr>
        <w:t>In TDD, at least the semi-statically configured UL symbols are excluded from the reference downlink resource</w:t>
      </w:r>
    </w:p>
    <w:p w14:paraId="555C17A1" w14:textId="77777777" w:rsidR="00E847BF" w:rsidRPr="005A5B54" w:rsidRDefault="00E847BF" w:rsidP="00E847BF">
      <w:pPr>
        <w:numPr>
          <w:ilvl w:val="5"/>
          <w:numId w:val="9"/>
        </w:numPr>
        <w:overflowPunct/>
        <w:autoSpaceDE/>
        <w:autoSpaceDN/>
        <w:adjustRightInd/>
        <w:spacing w:before="100" w:beforeAutospacing="1" w:after="100" w:afterAutospacing="1"/>
        <w:textAlignment w:val="auto"/>
        <w:rPr>
          <w:lang w:eastAsia="zh-CN"/>
        </w:rPr>
      </w:pPr>
      <w:r w:rsidRPr="005A5B54">
        <w:rPr>
          <w:lang w:eastAsia="zh-CN"/>
        </w:rPr>
        <w:t>Note: This means the reference downlink resource only includes the DL or unknown symbols given by semi-static configuration within the semi-statically configured time duration of the reference downlink resource.</w:t>
      </w:r>
    </w:p>
    <w:p w14:paraId="4903534E" w14:textId="77777777" w:rsidR="00E847BF" w:rsidRPr="005A5B54" w:rsidRDefault="00E847BF" w:rsidP="00E847BF">
      <w:pPr>
        <w:numPr>
          <w:ilvl w:val="4"/>
          <w:numId w:val="9"/>
        </w:numPr>
        <w:overflowPunct/>
        <w:autoSpaceDE/>
        <w:autoSpaceDN/>
        <w:adjustRightInd/>
        <w:spacing w:before="100" w:beforeAutospacing="1" w:after="100" w:afterAutospacing="1"/>
        <w:textAlignment w:val="auto"/>
        <w:rPr>
          <w:lang w:eastAsia="zh-CN"/>
        </w:rPr>
      </w:pPr>
      <w:r w:rsidRPr="005A5B54">
        <w:rPr>
          <w:lang w:eastAsia="zh-CN"/>
        </w:rPr>
        <w:t>FFS for the handling of reserved resource especially at RE level</w:t>
      </w:r>
    </w:p>
    <w:p w14:paraId="1F9FACAE" w14:textId="77777777" w:rsidR="00E847BF" w:rsidRPr="005A5B54" w:rsidRDefault="00E847BF" w:rsidP="00E847BF">
      <w:pPr>
        <w:rPr>
          <w:b/>
          <w:u w:val="single"/>
          <w:lang w:eastAsia="x-none"/>
        </w:rPr>
      </w:pPr>
      <w:r w:rsidRPr="005A5B54">
        <w:rPr>
          <w:b/>
          <w:highlight w:val="green"/>
          <w:u w:val="single"/>
          <w:lang w:eastAsia="x-none"/>
        </w:rPr>
        <w:t>Agreements</w:t>
      </w:r>
      <w:r w:rsidRPr="005A5B54">
        <w:rPr>
          <w:b/>
          <w:u w:val="single"/>
          <w:lang w:eastAsia="x-none"/>
        </w:rPr>
        <w:t>:</w:t>
      </w:r>
    </w:p>
    <w:p w14:paraId="4BB064C7" w14:textId="77777777" w:rsidR="00E847BF" w:rsidRPr="005A5B54" w:rsidRDefault="00E847BF" w:rsidP="00E847BF">
      <w:pPr>
        <w:numPr>
          <w:ilvl w:val="3"/>
          <w:numId w:val="9"/>
        </w:numPr>
        <w:overflowPunct/>
        <w:autoSpaceDE/>
        <w:autoSpaceDN/>
        <w:adjustRightInd/>
        <w:spacing w:after="0"/>
        <w:textAlignment w:val="auto"/>
        <w:rPr>
          <w:lang w:eastAsia="zh-CN"/>
        </w:rPr>
      </w:pPr>
      <w:r w:rsidRPr="005A5B54">
        <w:rPr>
          <w:lang w:eastAsia="zh-CN"/>
        </w:rPr>
        <w:t>For minimum monitoring periodicity of pre-emption indication:</w:t>
      </w:r>
    </w:p>
    <w:p w14:paraId="491710C4" w14:textId="77777777" w:rsidR="00E847BF" w:rsidRPr="005A5B54" w:rsidRDefault="00E847BF" w:rsidP="00E847BF">
      <w:pPr>
        <w:numPr>
          <w:ilvl w:val="4"/>
          <w:numId w:val="9"/>
        </w:numPr>
        <w:overflowPunct/>
        <w:autoSpaceDE/>
        <w:autoSpaceDN/>
        <w:adjustRightInd/>
        <w:spacing w:after="0"/>
        <w:textAlignment w:val="auto"/>
        <w:rPr>
          <w:lang w:eastAsia="zh-CN"/>
        </w:rPr>
      </w:pPr>
      <w:r w:rsidRPr="005A5B54">
        <w:rPr>
          <w:lang w:eastAsia="zh-CN"/>
        </w:rPr>
        <w:t>At least slot level monitoring periodicity of preemption indication is supported</w:t>
      </w:r>
    </w:p>
    <w:p w14:paraId="186A954D" w14:textId="0667E6A3" w:rsidR="00E847BF" w:rsidRPr="005A5B54" w:rsidRDefault="00E847BF" w:rsidP="00E847BF">
      <w:pPr>
        <w:numPr>
          <w:ilvl w:val="4"/>
          <w:numId w:val="9"/>
        </w:numPr>
        <w:overflowPunct/>
        <w:autoSpaceDE/>
        <w:autoSpaceDN/>
        <w:adjustRightInd/>
        <w:spacing w:after="0"/>
        <w:textAlignment w:val="auto"/>
        <w:rPr>
          <w:lang w:eastAsia="zh-CN"/>
        </w:rPr>
      </w:pPr>
      <w:r w:rsidRPr="005A5B54">
        <w:rPr>
          <w:lang w:eastAsia="zh-CN"/>
        </w:rPr>
        <w:t>FFS to additionally support other cases (e.g. non-slot level monitoring)</w:t>
      </w:r>
    </w:p>
    <w:p w14:paraId="4BEE5947" w14:textId="77777777" w:rsidR="00E847BF" w:rsidRPr="005A5B54" w:rsidRDefault="00E847BF" w:rsidP="00E847BF">
      <w:pPr>
        <w:rPr>
          <w:b/>
          <w:u w:val="single"/>
          <w:lang w:eastAsia="x-none"/>
        </w:rPr>
      </w:pPr>
      <w:r w:rsidRPr="005A5B54">
        <w:rPr>
          <w:b/>
          <w:highlight w:val="green"/>
          <w:u w:val="single"/>
          <w:lang w:eastAsia="x-none"/>
        </w:rPr>
        <w:t>Agreements</w:t>
      </w:r>
      <w:r w:rsidRPr="005A5B54">
        <w:rPr>
          <w:b/>
          <w:u w:val="single"/>
          <w:lang w:eastAsia="x-none"/>
        </w:rPr>
        <w:t>:</w:t>
      </w:r>
    </w:p>
    <w:p w14:paraId="11E3DC60" w14:textId="77777777" w:rsidR="00E847BF" w:rsidRPr="005A5B54" w:rsidRDefault="00E847BF" w:rsidP="00E847BF">
      <w:pPr>
        <w:numPr>
          <w:ilvl w:val="3"/>
          <w:numId w:val="9"/>
        </w:numPr>
        <w:overflowPunct/>
        <w:autoSpaceDE/>
        <w:autoSpaceDN/>
        <w:adjustRightInd/>
        <w:spacing w:after="0"/>
        <w:textAlignment w:val="auto"/>
        <w:rPr>
          <w:lang w:eastAsia="zh-CN"/>
        </w:rPr>
      </w:pPr>
      <w:r w:rsidRPr="005A5B54">
        <w:rPr>
          <w:lang w:eastAsia="zh-CN"/>
        </w:rPr>
        <w:t>For slot level monitoring periodicity, UE is not required to monitor preemption indication for a slot in which PDSCH is not scheduled</w:t>
      </w:r>
    </w:p>
    <w:p w14:paraId="6D8A11B5" w14:textId="77777777" w:rsidR="00E847BF" w:rsidRPr="005A5B54" w:rsidRDefault="00E847BF" w:rsidP="00E847BF">
      <w:pPr>
        <w:numPr>
          <w:ilvl w:val="3"/>
          <w:numId w:val="9"/>
        </w:numPr>
        <w:overflowPunct/>
        <w:autoSpaceDE/>
        <w:autoSpaceDN/>
        <w:adjustRightInd/>
        <w:spacing w:after="0"/>
        <w:textAlignment w:val="auto"/>
        <w:rPr>
          <w:lang w:eastAsia="zh-CN"/>
        </w:rPr>
      </w:pPr>
      <w:r w:rsidRPr="005A5B54">
        <w:rPr>
          <w:lang w:eastAsia="zh-CN"/>
        </w:rPr>
        <w:t>UE is not required to monitor preemption indication in DRX slots</w:t>
      </w:r>
    </w:p>
    <w:p w14:paraId="64D64DDA" w14:textId="77777777" w:rsidR="00E847BF" w:rsidRPr="005A5B54" w:rsidRDefault="00E847BF" w:rsidP="00E847BF">
      <w:pPr>
        <w:numPr>
          <w:ilvl w:val="3"/>
          <w:numId w:val="9"/>
        </w:numPr>
        <w:overflowPunct/>
        <w:autoSpaceDE/>
        <w:autoSpaceDN/>
        <w:adjustRightInd/>
        <w:spacing w:after="0"/>
        <w:textAlignment w:val="auto"/>
        <w:rPr>
          <w:lang w:eastAsia="zh-CN"/>
        </w:rPr>
      </w:pPr>
      <w:r w:rsidRPr="005A5B54">
        <w:rPr>
          <w:lang w:eastAsia="zh-CN"/>
        </w:rPr>
        <w:t>UE is not required to monitor preemption indication for the deactivated DL BWP</w:t>
      </w:r>
    </w:p>
    <w:p w14:paraId="1802B0CC" w14:textId="05AB4B2D" w:rsidR="00E847BF" w:rsidRPr="005A5B54" w:rsidRDefault="00E847BF" w:rsidP="00E847BF">
      <w:pPr>
        <w:numPr>
          <w:ilvl w:val="3"/>
          <w:numId w:val="9"/>
        </w:numPr>
        <w:overflowPunct/>
        <w:autoSpaceDE/>
        <w:autoSpaceDN/>
        <w:adjustRightInd/>
        <w:spacing w:after="0"/>
        <w:textAlignment w:val="auto"/>
        <w:rPr>
          <w:lang w:eastAsia="zh-CN"/>
        </w:rPr>
      </w:pPr>
      <w:r w:rsidRPr="005A5B54">
        <w:rPr>
          <w:lang w:eastAsia="zh-CN"/>
        </w:rPr>
        <w:t>Note: not necessarily all of the above bullets will have spec impacts</w:t>
      </w:r>
    </w:p>
    <w:p w14:paraId="64FAD855" w14:textId="77777777" w:rsidR="0007631D" w:rsidRPr="005A5B54" w:rsidRDefault="0007631D" w:rsidP="00E847BF">
      <w:pPr>
        <w:rPr>
          <w:highlight w:val="green"/>
          <w:lang w:eastAsia="x-none"/>
        </w:rPr>
      </w:pPr>
    </w:p>
    <w:p w14:paraId="3A4550B6" w14:textId="7C9115B6" w:rsidR="00E847BF" w:rsidRPr="005A5B54" w:rsidRDefault="00E847BF" w:rsidP="00E847BF">
      <w:pPr>
        <w:rPr>
          <w:b/>
          <w:u w:val="single"/>
          <w:lang w:eastAsia="x-none"/>
        </w:rPr>
      </w:pPr>
      <w:r w:rsidRPr="005A5B54">
        <w:rPr>
          <w:b/>
          <w:highlight w:val="green"/>
          <w:u w:val="single"/>
          <w:lang w:eastAsia="x-none"/>
        </w:rPr>
        <w:t>Agreements</w:t>
      </w:r>
      <w:r w:rsidRPr="005A5B54">
        <w:rPr>
          <w:b/>
          <w:u w:val="single"/>
          <w:lang w:eastAsia="x-none"/>
        </w:rPr>
        <w:t>:</w:t>
      </w:r>
    </w:p>
    <w:p w14:paraId="67EFE0EE" w14:textId="2F7AB87E" w:rsidR="00E847BF" w:rsidRPr="005A5B54" w:rsidRDefault="00E847BF" w:rsidP="00E847BF">
      <w:pPr>
        <w:numPr>
          <w:ilvl w:val="0"/>
          <w:numId w:val="10"/>
        </w:numPr>
        <w:overflowPunct/>
        <w:autoSpaceDE/>
        <w:autoSpaceDN/>
        <w:adjustRightInd/>
        <w:spacing w:after="0"/>
        <w:textAlignment w:val="auto"/>
        <w:rPr>
          <w:b/>
          <w:lang w:eastAsia="zh-CN"/>
        </w:rPr>
      </w:pPr>
      <w:r w:rsidRPr="005A5B54">
        <w:rPr>
          <w:lang w:eastAsia="zh-CN"/>
        </w:rPr>
        <w:t xml:space="preserve">The HARQ timeline for a PDSCH transmission is not affected by preemption indication. </w:t>
      </w:r>
    </w:p>
    <w:p w14:paraId="00895B8E" w14:textId="77777777" w:rsidR="0007631D" w:rsidRPr="005A5B54" w:rsidRDefault="0007631D" w:rsidP="00E847BF">
      <w:pPr>
        <w:rPr>
          <w:highlight w:val="green"/>
          <w:lang w:eastAsia="zh-CN"/>
        </w:rPr>
      </w:pPr>
    </w:p>
    <w:p w14:paraId="7894F3BB" w14:textId="129F338D" w:rsidR="00E847BF" w:rsidRPr="005A5B54" w:rsidRDefault="00E847BF" w:rsidP="00E847BF">
      <w:pPr>
        <w:rPr>
          <w:b/>
          <w:u w:val="single"/>
          <w:lang w:eastAsia="zh-CN"/>
        </w:rPr>
      </w:pPr>
      <w:r w:rsidRPr="005A5B54">
        <w:rPr>
          <w:b/>
          <w:highlight w:val="green"/>
          <w:u w:val="single"/>
          <w:lang w:eastAsia="zh-CN"/>
        </w:rPr>
        <w:t>Agreements</w:t>
      </w:r>
      <w:r w:rsidRPr="005A5B54">
        <w:rPr>
          <w:b/>
          <w:u w:val="single"/>
          <w:lang w:eastAsia="zh-CN"/>
        </w:rPr>
        <w:t>:</w:t>
      </w:r>
    </w:p>
    <w:p w14:paraId="05575502" w14:textId="77777777" w:rsidR="00E847BF" w:rsidRPr="005A5B54" w:rsidRDefault="00E847BF" w:rsidP="00E847BF">
      <w:pPr>
        <w:numPr>
          <w:ilvl w:val="3"/>
          <w:numId w:val="9"/>
        </w:numPr>
        <w:overflowPunct/>
        <w:autoSpaceDE/>
        <w:autoSpaceDN/>
        <w:adjustRightInd/>
        <w:spacing w:after="0"/>
        <w:textAlignment w:val="auto"/>
        <w:rPr>
          <w:rFonts w:eastAsia="Times New Roman"/>
          <w:lang w:eastAsia="zh-CN"/>
        </w:rPr>
      </w:pPr>
      <w:r w:rsidRPr="005A5B54">
        <w:rPr>
          <w:rFonts w:eastAsia="Times New Roman"/>
          <w:lang w:eastAsia="zh-CN"/>
        </w:rPr>
        <w:t xml:space="preserve">No concensus to introduce an explicit RRC configuration for </w:t>
      </w:r>
      <w:r w:rsidRPr="005A5B54">
        <w:t>frequency region of the reference downlink resource for pre</w:t>
      </w:r>
      <w:r w:rsidRPr="005A5B54">
        <w:rPr>
          <w:lang w:eastAsia="zh-CN"/>
        </w:rPr>
        <w:t>-</w:t>
      </w:r>
      <w:r w:rsidRPr="005A5B54">
        <w:t>emption indication in Rel-15</w:t>
      </w:r>
    </w:p>
    <w:p w14:paraId="0264DBD0" w14:textId="77777777" w:rsidR="00E847BF" w:rsidRPr="005A5B54" w:rsidRDefault="00E847BF" w:rsidP="00E847BF">
      <w:pPr>
        <w:numPr>
          <w:ilvl w:val="3"/>
          <w:numId w:val="9"/>
        </w:numPr>
        <w:overflowPunct/>
        <w:autoSpaceDE/>
        <w:autoSpaceDN/>
        <w:adjustRightInd/>
        <w:spacing w:after="0"/>
        <w:textAlignment w:val="auto"/>
        <w:rPr>
          <w:rFonts w:eastAsia="Times New Roman"/>
          <w:lang w:eastAsia="zh-CN"/>
        </w:rPr>
      </w:pPr>
      <w:r w:rsidRPr="005A5B54">
        <w:t>(working assumption) the frequency region of the reference downlink resource for pre-emption indication is the active DL BWP</w:t>
      </w:r>
    </w:p>
    <w:p w14:paraId="725162DF" w14:textId="77777777" w:rsidR="00E847BF" w:rsidRPr="005A5B54" w:rsidRDefault="00E847BF" w:rsidP="00E847BF">
      <w:pPr>
        <w:rPr>
          <w:b/>
          <w:highlight w:val="yellow"/>
          <w:lang w:eastAsia="zh-CN"/>
        </w:rPr>
      </w:pPr>
    </w:p>
    <w:p w14:paraId="374AFA94" w14:textId="77777777" w:rsidR="00E847BF" w:rsidRPr="005A5B54" w:rsidRDefault="00E847BF" w:rsidP="00E847BF">
      <w:pPr>
        <w:rPr>
          <w:b/>
          <w:u w:val="single"/>
          <w:lang w:eastAsia="zh-CN"/>
        </w:rPr>
      </w:pPr>
      <w:r w:rsidRPr="005A5B54">
        <w:rPr>
          <w:b/>
          <w:highlight w:val="green"/>
          <w:u w:val="single"/>
          <w:lang w:eastAsia="zh-CN"/>
        </w:rPr>
        <w:t>Agreements</w:t>
      </w:r>
      <w:r w:rsidRPr="005A5B54">
        <w:rPr>
          <w:b/>
          <w:u w:val="single"/>
          <w:lang w:eastAsia="zh-CN"/>
        </w:rPr>
        <w:t>:</w:t>
      </w:r>
    </w:p>
    <w:p w14:paraId="527BCA05" w14:textId="77777777" w:rsidR="00E847BF" w:rsidRPr="005A5B54" w:rsidRDefault="00E847BF" w:rsidP="00E847BF">
      <w:pPr>
        <w:numPr>
          <w:ilvl w:val="0"/>
          <w:numId w:val="11"/>
        </w:numPr>
        <w:overflowPunct/>
        <w:autoSpaceDE/>
        <w:autoSpaceDN/>
        <w:adjustRightInd/>
        <w:textAlignment w:val="auto"/>
        <w:rPr>
          <w:rFonts w:eastAsia="Times New Roman"/>
          <w:lang w:eastAsia="zh-CN"/>
        </w:rPr>
      </w:pPr>
      <w:r w:rsidRPr="005A5B54">
        <w:rPr>
          <w:rFonts w:eastAsia="Times New Roman"/>
          <w:lang w:eastAsia="zh-CN"/>
        </w:rPr>
        <w:t>A fixed payload size (excluding CRC and potential reserved bits) of the group-common DCI carrying the downlink pre-emption indication (PI), in the format of a bitmap is used to indicate preempted resources within the semi-statically configured DL reference resource</w:t>
      </w:r>
    </w:p>
    <w:p w14:paraId="7201FBE1" w14:textId="77777777" w:rsidR="00E847BF" w:rsidRPr="005A5B54" w:rsidRDefault="00E847BF" w:rsidP="00E847BF">
      <w:pPr>
        <w:numPr>
          <w:ilvl w:val="1"/>
          <w:numId w:val="11"/>
        </w:numPr>
        <w:overflowPunct/>
        <w:autoSpaceDE/>
        <w:autoSpaceDN/>
        <w:adjustRightInd/>
        <w:textAlignment w:val="auto"/>
        <w:rPr>
          <w:rFonts w:eastAsia="Times New Roman"/>
          <w:lang w:eastAsia="zh-CN"/>
        </w:rPr>
      </w:pPr>
      <w:r w:rsidRPr="005A5B54">
        <w:rPr>
          <w:rFonts w:eastAsia="Times New Roman"/>
          <w:lang w:eastAsia="zh-CN"/>
        </w:rPr>
        <w:t>The bitmap indicates for one or more frequency domain parts (N&gt;=1) and/or one or more time domain parts (M&gt;=1)</w:t>
      </w:r>
    </w:p>
    <w:p w14:paraId="5128CD50" w14:textId="77777777" w:rsidR="00E847BF" w:rsidRPr="005A5B54" w:rsidRDefault="00E847BF" w:rsidP="00E847BF">
      <w:pPr>
        <w:numPr>
          <w:ilvl w:val="2"/>
          <w:numId w:val="11"/>
        </w:numPr>
        <w:overflowPunct/>
        <w:autoSpaceDE/>
        <w:autoSpaceDN/>
        <w:adjustRightInd/>
        <w:textAlignment w:val="auto"/>
        <w:rPr>
          <w:rFonts w:eastAsia="Times New Roman"/>
          <w:lang w:eastAsia="zh-CN"/>
        </w:rPr>
      </w:pPr>
      <w:r w:rsidRPr="005A5B54">
        <w:rPr>
          <w:rFonts w:eastAsia="Times New Roman"/>
          <w:lang w:eastAsia="zh-CN"/>
        </w:rPr>
        <w:t>There is no RRC configuration involved in determining the frequency or time-domain parts</w:t>
      </w:r>
    </w:p>
    <w:p w14:paraId="25596987" w14:textId="77777777" w:rsidR="00E847BF" w:rsidRPr="005A5B54" w:rsidRDefault="00E847BF" w:rsidP="00E847BF">
      <w:pPr>
        <w:numPr>
          <w:ilvl w:val="1"/>
          <w:numId w:val="11"/>
        </w:numPr>
        <w:overflowPunct/>
        <w:autoSpaceDE/>
        <w:autoSpaceDN/>
        <w:adjustRightInd/>
        <w:textAlignment w:val="auto"/>
        <w:rPr>
          <w:rFonts w:eastAsia="Times New Roman"/>
          <w:lang w:eastAsia="zh-CN"/>
        </w:rPr>
      </w:pPr>
      <w:r w:rsidRPr="005A5B54">
        <w:rPr>
          <w:rFonts w:eastAsia="Times New Roman"/>
          <w:lang w:eastAsia="zh-CN"/>
        </w:rPr>
        <w:t>The following combinations are supported and predefined {M, N} = {14, 1}, {7, 2}</w:t>
      </w:r>
    </w:p>
    <w:p w14:paraId="7232365C" w14:textId="77777777" w:rsidR="00E847BF" w:rsidRPr="005A5B54" w:rsidRDefault="00E847BF" w:rsidP="00E847BF">
      <w:pPr>
        <w:numPr>
          <w:ilvl w:val="1"/>
          <w:numId w:val="11"/>
        </w:numPr>
        <w:overflowPunct/>
        <w:autoSpaceDE/>
        <w:autoSpaceDN/>
        <w:adjustRightInd/>
        <w:textAlignment w:val="auto"/>
        <w:rPr>
          <w:rFonts w:eastAsia="Times New Roman"/>
          <w:lang w:eastAsia="zh-CN"/>
        </w:rPr>
      </w:pPr>
      <w:r w:rsidRPr="005A5B54">
        <w:rPr>
          <w:rFonts w:eastAsia="Times New Roman"/>
          <w:lang w:eastAsia="zh-CN"/>
        </w:rPr>
        <w:t>A combination of {M,N} from this set of possible {M,N} is indicated 1bit by RRC configuration for a UE</w:t>
      </w:r>
    </w:p>
    <w:p w14:paraId="50A603AD" w14:textId="77777777" w:rsidR="00766A9E" w:rsidRPr="0007631D" w:rsidRDefault="00766A9E" w:rsidP="000A30DE">
      <w:pPr>
        <w:rPr>
          <w:sz w:val="24"/>
          <w:szCs w:val="24"/>
        </w:rPr>
      </w:pPr>
    </w:p>
    <w:p w14:paraId="60D0CFFA" w14:textId="609E378A" w:rsidR="00DE2184" w:rsidRPr="0007631D" w:rsidRDefault="00DE2184" w:rsidP="000A30DE">
      <w:pPr>
        <w:rPr>
          <w:sz w:val="24"/>
          <w:szCs w:val="24"/>
        </w:rPr>
      </w:pPr>
      <w:r w:rsidRPr="0007631D">
        <w:rPr>
          <w:sz w:val="24"/>
          <w:szCs w:val="24"/>
        </w:rPr>
        <w:t xml:space="preserve">In this contribution, we discuss </w:t>
      </w:r>
      <w:r w:rsidR="008508C3" w:rsidRPr="0007631D">
        <w:rPr>
          <w:sz w:val="24"/>
          <w:szCs w:val="24"/>
        </w:rPr>
        <w:t xml:space="preserve">the </w:t>
      </w:r>
      <w:r w:rsidR="00A61B11" w:rsidRPr="0007631D">
        <w:rPr>
          <w:sz w:val="24"/>
          <w:szCs w:val="24"/>
        </w:rPr>
        <w:t>concrete indication channel design for URLLC/eMBB downlink dynamic multiplexing.</w:t>
      </w:r>
    </w:p>
    <w:p w14:paraId="4A6486FB" w14:textId="582B2CC7" w:rsidR="00BA1327" w:rsidRPr="0007631D" w:rsidRDefault="0033198A" w:rsidP="00BA1327">
      <w:pPr>
        <w:pStyle w:val="Heading1"/>
        <w:rPr>
          <w:rFonts w:ascii="Times New Roman" w:hAnsi="Times New Roman"/>
          <w:lang w:eastAsia="ko-KR"/>
        </w:rPr>
      </w:pPr>
      <w:bookmarkStart w:id="2" w:name="OLE_LINK17"/>
      <w:bookmarkStart w:id="3" w:name="OLE_LINK18"/>
      <w:r w:rsidRPr="0007631D">
        <w:rPr>
          <w:rFonts w:ascii="Times New Roman" w:hAnsi="Times New Roman"/>
          <w:lang w:eastAsia="ko-KR"/>
        </w:rPr>
        <w:t>DL indication channel</w:t>
      </w:r>
      <w:r w:rsidR="00A626E5" w:rsidRPr="0007631D">
        <w:rPr>
          <w:rFonts w:ascii="Times New Roman" w:hAnsi="Times New Roman"/>
          <w:lang w:eastAsia="ko-KR"/>
        </w:rPr>
        <w:t xml:space="preserve"> design</w:t>
      </w:r>
    </w:p>
    <w:p w14:paraId="25EC1134" w14:textId="5EC520E2" w:rsidR="00DE7ADA" w:rsidRPr="0007631D" w:rsidRDefault="00DE7ADA" w:rsidP="00854E93">
      <w:pPr>
        <w:pStyle w:val="BodyText"/>
        <w:rPr>
          <w:rFonts w:ascii="Times New Roman" w:hAnsi="Times New Roman"/>
          <w:sz w:val="24"/>
        </w:rPr>
      </w:pPr>
      <w:bookmarkStart w:id="4" w:name="OLE_LINK5"/>
      <w:bookmarkStart w:id="5" w:name="OLE_LINK6"/>
      <w:bookmarkStart w:id="6" w:name="OLE_LINK7"/>
      <w:bookmarkEnd w:id="2"/>
      <w:bookmarkEnd w:id="3"/>
      <w:r w:rsidRPr="0007631D">
        <w:rPr>
          <w:rFonts w:ascii="Times New Roman" w:hAnsi="Times New Roman"/>
          <w:sz w:val="24"/>
        </w:rPr>
        <w:t xml:space="preserve">Dynamic resource sharing between URLLC and eMBB (such as pre-emption, puncturing or superposition) is an essential feature that NR has adopted to serve different service types of very different latency, reliability and efficiency requirements in order </w:t>
      </w:r>
      <w:r w:rsidR="00E46635" w:rsidRPr="0007631D">
        <w:rPr>
          <w:rFonts w:ascii="Times New Roman" w:hAnsi="Times New Roman"/>
          <w:sz w:val="24"/>
        </w:rPr>
        <w:t xml:space="preserve">to </w:t>
      </w:r>
      <w:r w:rsidRPr="0007631D">
        <w:rPr>
          <w:rFonts w:ascii="Times New Roman" w:hAnsi="Times New Roman"/>
          <w:sz w:val="24"/>
        </w:rPr>
        <w:t>meet 5G URLLC and eMBB requirements respectively.</w:t>
      </w:r>
      <w:bookmarkEnd w:id="4"/>
      <w:bookmarkEnd w:id="5"/>
      <w:bookmarkEnd w:id="6"/>
      <w:r w:rsidRPr="0007631D">
        <w:rPr>
          <w:rFonts w:ascii="Times New Roman" w:hAnsi="Times New Roman"/>
          <w:sz w:val="24"/>
        </w:rPr>
        <w:t xml:space="preserve"> Static/semi-static resource partitioning between URLLC </w:t>
      </w:r>
      <w:r w:rsidR="00AC6A5F" w:rsidRPr="0007631D">
        <w:rPr>
          <w:rFonts w:ascii="Times New Roman" w:hAnsi="Times New Roman"/>
          <w:sz w:val="24"/>
        </w:rPr>
        <w:t>and eMBB, e.g., through FDM-ing between</w:t>
      </w:r>
      <w:r w:rsidRPr="0007631D">
        <w:rPr>
          <w:rFonts w:ascii="Times New Roman" w:hAnsi="Times New Roman"/>
          <w:sz w:val="24"/>
        </w:rPr>
        <w:t xml:space="preserve"> URLLC and eMBB</w:t>
      </w:r>
      <w:r w:rsidR="00AC6A5F" w:rsidRPr="0007631D">
        <w:rPr>
          <w:rFonts w:ascii="Times New Roman" w:hAnsi="Times New Roman"/>
          <w:sz w:val="24"/>
        </w:rPr>
        <w:t>,</w:t>
      </w:r>
      <w:r w:rsidRPr="0007631D">
        <w:rPr>
          <w:rFonts w:ascii="Times New Roman" w:hAnsi="Times New Roman"/>
          <w:sz w:val="24"/>
        </w:rPr>
        <w:t xml:space="preserve"> would lead to low system efficiency as we showed in previous contributions [4]. </w:t>
      </w:r>
      <w:r w:rsidR="00272C60" w:rsidRPr="0007631D">
        <w:rPr>
          <w:rFonts w:ascii="Times New Roman" w:hAnsi="Times New Roman"/>
          <w:sz w:val="24"/>
        </w:rPr>
        <w:t>Alternatively, d</w:t>
      </w:r>
      <w:r w:rsidRPr="0007631D">
        <w:rPr>
          <w:rFonts w:ascii="Times New Roman" w:hAnsi="Times New Roman"/>
          <w:sz w:val="24"/>
        </w:rPr>
        <w:t xml:space="preserve">ynamic eMBB and URLLC multiplexing </w:t>
      </w:r>
      <w:r w:rsidR="000024E0" w:rsidRPr="0007631D">
        <w:rPr>
          <w:rFonts w:ascii="Times New Roman" w:hAnsi="Times New Roman"/>
          <w:sz w:val="24"/>
        </w:rPr>
        <w:t>can</w:t>
      </w:r>
      <w:r w:rsidRPr="0007631D">
        <w:rPr>
          <w:rFonts w:ascii="Times New Roman" w:hAnsi="Times New Roman"/>
          <w:sz w:val="24"/>
        </w:rPr>
        <w:t xml:space="preserve"> be performed at a mini-slot granularity to get the most efficient multiplexing scheme. For example, it is shown that 2/4-symbol mini-slot of 60kHz SCS provides significant capacity gain in URLLC compared with slot based URLLC scheduling in previous contributions [3], [4]. </w:t>
      </w:r>
      <w:r w:rsidR="0035705A" w:rsidRPr="0007631D">
        <w:rPr>
          <w:rFonts w:ascii="Times New Roman" w:hAnsi="Times New Roman"/>
          <w:sz w:val="24"/>
        </w:rPr>
        <w:t xml:space="preserve">To better serve URLLC design in both the first and future releases, additional control signaling is </w:t>
      </w:r>
      <w:r w:rsidR="00854E93" w:rsidRPr="0007631D">
        <w:rPr>
          <w:rFonts w:ascii="Times New Roman" w:hAnsi="Times New Roman"/>
          <w:sz w:val="24"/>
        </w:rPr>
        <w:t>desired to indicate where URLLC pre-emption happens.</w:t>
      </w:r>
    </w:p>
    <w:p w14:paraId="2781A005" w14:textId="01E3ADFE" w:rsidR="00CE6740" w:rsidRPr="0007631D" w:rsidRDefault="00CE6740" w:rsidP="00854E93">
      <w:pPr>
        <w:pStyle w:val="BodyText"/>
        <w:rPr>
          <w:rFonts w:ascii="Times New Roman" w:hAnsi="Times New Roman"/>
          <w:sz w:val="24"/>
        </w:rPr>
      </w:pPr>
      <w:r w:rsidRPr="0007631D">
        <w:rPr>
          <w:rFonts w:ascii="Times New Roman" w:hAnsi="Times New Roman"/>
          <w:sz w:val="24"/>
        </w:rPr>
        <w:t xml:space="preserve">As shown by many companies, the indication-based multiplexing approach is beneficial for both URLLC and eMBB UEs at the cost of indicator overhead. As discussed in our previous contributions [6], the indication schemes </w:t>
      </w:r>
      <w:r w:rsidR="006F466E" w:rsidRPr="0007631D">
        <w:rPr>
          <w:rFonts w:ascii="Times New Roman" w:hAnsi="Times New Roman"/>
          <w:sz w:val="24"/>
        </w:rPr>
        <w:t xml:space="preserve">with different periodicities </w:t>
      </w:r>
      <w:r w:rsidRPr="0007631D">
        <w:rPr>
          <w:rFonts w:ascii="Times New Roman" w:hAnsi="Times New Roman"/>
          <w:sz w:val="24"/>
        </w:rPr>
        <w:t xml:space="preserve">should be considered. See Figure 1&amp;2 for </w:t>
      </w:r>
      <w:r w:rsidR="00123012" w:rsidRPr="0007631D">
        <w:rPr>
          <w:rFonts w:ascii="Times New Roman" w:hAnsi="Times New Roman"/>
          <w:sz w:val="24"/>
        </w:rPr>
        <w:t xml:space="preserve">the </w:t>
      </w:r>
      <w:r w:rsidRPr="0007631D">
        <w:rPr>
          <w:rFonts w:ascii="Times New Roman" w:hAnsi="Times New Roman"/>
          <w:sz w:val="24"/>
        </w:rPr>
        <w:t xml:space="preserve">examples of </w:t>
      </w:r>
      <w:r w:rsidR="00E8548B" w:rsidRPr="0007631D">
        <w:rPr>
          <w:rFonts w:ascii="Times New Roman" w:hAnsi="Times New Roman"/>
          <w:sz w:val="24"/>
        </w:rPr>
        <w:t xml:space="preserve">per mini-slot </w:t>
      </w:r>
      <w:r w:rsidR="002D1051" w:rsidRPr="0007631D">
        <w:rPr>
          <w:rFonts w:ascii="Times New Roman" w:hAnsi="Times New Roman"/>
          <w:sz w:val="24"/>
        </w:rPr>
        <w:t>(</w:t>
      </w:r>
      <w:r w:rsidR="005E5317">
        <w:rPr>
          <w:rFonts w:ascii="Times New Roman" w:hAnsi="Times New Roman"/>
          <w:sz w:val="24"/>
        </w:rPr>
        <w:t>or multi-</w:t>
      </w:r>
      <w:r w:rsidR="002D1051" w:rsidRPr="0007631D">
        <w:rPr>
          <w:rFonts w:ascii="Times New Roman" w:hAnsi="Times New Roman"/>
          <w:sz w:val="24"/>
        </w:rPr>
        <w:t xml:space="preserve">mini-slot) </w:t>
      </w:r>
      <w:r w:rsidR="00E8548B" w:rsidRPr="0007631D">
        <w:rPr>
          <w:rFonts w:ascii="Times New Roman" w:hAnsi="Times New Roman"/>
          <w:sz w:val="24"/>
        </w:rPr>
        <w:t>indication</w:t>
      </w:r>
      <w:r w:rsidR="002D1051" w:rsidRPr="0007631D">
        <w:rPr>
          <w:rFonts w:ascii="Times New Roman" w:hAnsi="Times New Roman"/>
          <w:sz w:val="24"/>
        </w:rPr>
        <w:t xml:space="preserve"> and per slot indication</w:t>
      </w:r>
      <w:r w:rsidR="00AE492A" w:rsidRPr="0007631D">
        <w:rPr>
          <w:rFonts w:ascii="Times New Roman" w:hAnsi="Times New Roman"/>
          <w:sz w:val="24"/>
        </w:rPr>
        <w:t xml:space="preserve"> (at the beginning and at the end of the slot)</w:t>
      </w:r>
      <w:r w:rsidRPr="0007631D">
        <w:rPr>
          <w:rFonts w:ascii="Times New Roman" w:hAnsi="Times New Roman"/>
          <w:sz w:val="24"/>
        </w:rPr>
        <w:t>, respectively.</w:t>
      </w:r>
    </w:p>
    <w:p w14:paraId="1D0FA094" w14:textId="18AEB433" w:rsidR="00482CC3" w:rsidRPr="0007631D" w:rsidRDefault="00363C06" w:rsidP="00482CC3">
      <w:pPr>
        <w:jc w:val="center"/>
        <w:rPr>
          <w:sz w:val="24"/>
        </w:rPr>
      </w:pPr>
      <w:r w:rsidRPr="0007631D">
        <w:rPr>
          <w:noProof/>
          <w:sz w:val="24"/>
        </w:rPr>
        <w:drawing>
          <wp:inline distT="0" distB="0" distL="0" distR="0" wp14:anchorId="2CA42181" wp14:editId="38F985E8">
            <wp:extent cx="3189590" cy="189042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03097" cy="1898429"/>
                    </a:xfrm>
                    <a:prstGeom prst="rect">
                      <a:avLst/>
                    </a:prstGeom>
                    <a:noFill/>
                    <a:ln>
                      <a:noFill/>
                    </a:ln>
                  </pic:spPr>
                </pic:pic>
              </a:graphicData>
            </a:graphic>
          </wp:inline>
        </w:drawing>
      </w:r>
    </w:p>
    <w:p w14:paraId="480C859E" w14:textId="6A46F963" w:rsidR="004A192B" w:rsidRPr="0007631D" w:rsidRDefault="00482CC3" w:rsidP="00482CC3">
      <w:pPr>
        <w:jc w:val="center"/>
        <w:rPr>
          <w:b/>
          <w:color w:val="000000" w:themeColor="text1"/>
          <w:lang w:eastAsia="ko-KR"/>
        </w:rPr>
      </w:pPr>
      <w:r w:rsidRPr="0007631D">
        <w:rPr>
          <w:b/>
          <w:color w:val="000000" w:themeColor="text1"/>
          <w:sz w:val="22"/>
        </w:rPr>
        <w:t xml:space="preserve">Figure 1. </w:t>
      </w:r>
      <w:r w:rsidR="00693CE1" w:rsidRPr="0007631D">
        <w:rPr>
          <w:b/>
          <w:color w:val="000000" w:themeColor="text1"/>
          <w:sz w:val="22"/>
        </w:rPr>
        <w:t>Scheme</w:t>
      </w:r>
      <w:r w:rsidRPr="0007631D">
        <w:rPr>
          <w:b/>
          <w:color w:val="000000" w:themeColor="text1"/>
          <w:sz w:val="22"/>
        </w:rPr>
        <w:t xml:space="preserve"> of </w:t>
      </w:r>
      <w:r w:rsidR="00B10421" w:rsidRPr="0007631D">
        <w:rPr>
          <w:b/>
          <w:color w:val="000000" w:themeColor="text1"/>
          <w:sz w:val="22"/>
        </w:rPr>
        <w:t xml:space="preserve">per (multi-)mini-slot </w:t>
      </w:r>
      <w:r w:rsidRPr="0007631D">
        <w:rPr>
          <w:b/>
          <w:color w:val="000000" w:themeColor="text1"/>
          <w:sz w:val="22"/>
        </w:rPr>
        <w:t>indication of preemption</w:t>
      </w:r>
    </w:p>
    <w:p w14:paraId="1AF65334" w14:textId="0D2C1D37" w:rsidR="00482CC3" w:rsidRPr="0007631D" w:rsidRDefault="000850B1" w:rsidP="00482CC3">
      <w:pPr>
        <w:jc w:val="center"/>
        <w:rPr>
          <w:lang w:eastAsia="ko-KR"/>
        </w:rPr>
      </w:pPr>
      <w:r w:rsidRPr="0007631D">
        <w:rPr>
          <w:noProof/>
          <w:lang w:eastAsia="zh-TW"/>
        </w:rPr>
        <w:lastRenderedPageBreak/>
        <w:drawing>
          <wp:inline distT="0" distB="0" distL="0" distR="0" wp14:anchorId="0AE39E80" wp14:editId="1CCBDB1C">
            <wp:extent cx="2995535" cy="1752242"/>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11038" cy="1761310"/>
                    </a:xfrm>
                    <a:prstGeom prst="rect">
                      <a:avLst/>
                    </a:prstGeom>
                    <a:noFill/>
                    <a:ln>
                      <a:noFill/>
                    </a:ln>
                  </pic:spPr>
                </pic:pic>
              </a:graphicData>
            </a:graphic>
          </wp:inline>
        </w:drawing>
      </w:r>
    </w:p>
    <w:p w14:paraId="76E2C06A" w14:textId="77777777" w:rsidR="00482CC3" w:rsidRPr="0007631D" w:rsidRDefault="00482CC3" w:rsidP="00482CC3">
      <w:pPr>
        <w:jc w:val="center"/>
        <w:rPr>
          <w:lang w:eastAsia="ko-KR"/>
        </w:rPr>
      </w:pPr>
      <w:r w:rsidRPr="0007631D">
        <w:rPr>
          <w:lang w:eastAsia="ko-KR"/>
        </w:rPr>
        <w:t>(a)</w:t>
      </w:r>
    </w:p>
    <w:p w14:paraId="73FC8A21" w14:textId="09A0A6CE" w:rsidR="00482CC3" w:rsidRPr="0007631D" w:rsidRDefault="000850B1" w:rsidP="00482CC3">
      <w:pPr>
        <w:jc w:val="center"/>
        <w:rPr>
          <w:lang w:eastAsia="ko-KR"/>
        </w:rPr>
      </w:pPr>
      <w:r w:rsidRPr="0007631D">
        <w:rPr>
          <w:noProof/>
          <w:lang w:eastAsia="zh-TW"/>
        </w:rPr>
        <w:drawing>
          <wp:inline distT="0" distB="0" distL="0" distR="0" wp14:anchorId="46D25B9C" wp14:editId="44E0015F">
            <wp:extent cx="4264149" cy="1702075"/>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10882" cy="1720729"/>
                    </a:xfrm>
                    <a:prstGeom prst="rect">
                      <a:avLst/>
                    </a:prstGeom>
                    <a:noFill/>
                    <a:ln>
                      <a:noFill/>
                    </a:ln>
                  </pic:spPr>
                </pic:pic>
              </a:graphicData>
            </a:graphic>
          </wp:inline>
        </w:drawing>
      </w:r>
    </w:p>
    <w:p w14:paraId="3A4C1C49" w14:textId="77777777" w:rsidR="00482CC3" w:rsidRPr="0007631D" w:rsidRDefault="00482CC3" w:rsidP="00482CC3">
      <w:pPr>
        <w:jc w:val="center"/>
        <w:rPr>
          <w:lang w:eastAsia="ko-KR"/>
        </w:rPr>
      </w:pPr>
      <w:r w:rsidRPr="0007631D">
        <w:rPr>
          <w:lang w:eastAsia="ko-KR"/>
        </w:rPr>
        <w:t>(b)</w:t>
      </w:r>
    </w:p>
    <w:p w14:paraId="14E5DF95" w14:textId="2AD72839" w:rsidR="00482CC3" w:rsidRPr="0007631D" w:rsidRDefault="00482CC3" w:rsidP="00482CC3">
      <w:pPr>
        <w:jc w:val="center"/>
        <w:rPr>
          <w:b/>
          <w:lang w:eastAsia="ko-KR"/>
        </w:rPr>
      </w:pPr>
      <w:r w:rsidRPr="0007631D">
        <w:rPr>
          <w:b/>
          <w:sz w:val="22"/>
        </w:rPr>
        <w:t>Figure 2. Schemes of post-indication of preemption</w:t>
      </w:r>
      <w:r w:rsidR="00407258" w:rsidRPr="0007631D">
        <w:rPr>
          <w:b/>
          <w:sz w:val="22"/>
        </w:rPr>
        <w:t>: (a) post-indication occurs at the last symbol of the current slot; (b) post-indication occurs at the control channel of the next slot.</w:t>
      </w:r>
    </w:p>
    <w:p w14:paraId="427A5E4E" w14:textId="63A9F49A" w:rsidR="00770272" w:rsidRPr="0007631D" w:rsidRDefault="006F0A88" w:rsidP="001B5058">
      <w:pPr>
        <w:jc w:val="both"/>
        <w:rPr>
          <w:sz w:val="24"/>
          <w:szCs w:val="24"/>
        </w:rPr>
      </w:pPr>
      <w:r>
        <w:rPr>
          <w:sz w:val="24"/>
        </w:rPr>
        <w:t xml:space="preserve">In </w:t>
      </w:r>
      <w:r w:rsidR="00B077E9" w:rsidRPr="0007631D">
        <w:rPr>
          <w:sz w:val="24"/>
        </w:rPr>
        <w:t xml:space="preserve">particular, </w:t>
      </w:r>
      <w:r w:rsidR="001B7712" w:rsidRPr="0007631D">
        <w:rPr>
          <w:sz w:val="24"/>
        </w:rPr>
        <w:t xml:space="preserve">the </w:t>
      </w:r>
      <w:r w:rsidR="00AE0332" w:rsidRPr="0007631D">
        <w:rPr>
          <w:sz w:val="24"/>
        </w:rPr>
        <w:t>current indication draws much attention due to its low processing latency.</w:t>
      </w:r>
      <w:r w:rsidR="00F71893" w:rsidRPr="0007631D">
        <w:rPr>
          <w:sz w:val="24"/>
        </w:rPr>
        <w:t xml:space="preserve"> </w:t>
      </w:r>
      <w:r w:rsidR="00AE0332" w:rsidRPr="0007631D">
        <w:rPr>
          <w:sz w:val="24"/>
        </w:rPr>
        <w:t>T</w:t>
      </w:r>
      <w:r w:rsidR="00770272" w:rsidRPr="0007631D">
        <w:rPr>
          <w:sz w:val="24"/>
        </w:rPr>
        <w:t xml:space="preserve">he </w:t>
      </w:r>
      <w:r w:rsidR="00AE0332" w:rsidRPr="0007631D">
        <w:rPr>
          <w:sz w:val="24"/>
        </w:rPr>
        <w:t xml:space="preserve">current </w:t>
      </w:r>
      <w:r w:rsidR="00770272" w:rsidRPr="0007631D">
        <w:rPr>
          <w:sz w:val="24"/>
          <w:szCs w:val="24"/>
        </w:rPr>
        <w:t xml:space="preserve">indication could be per mini-slot or per a few mini-slots. The indication periodicity could be configured semi-statically </w:t>
      </w:r>
      <w:r w:rsidR="00E36A16" w:rsidRPr="0007631D">
        <w:rPr>
          <w:sz w:val="24"/>
          <w:szCs w:val="24"/>
        </w:rPr>
        <w:t xml:space="preserve">(via RRC) </w:t>
      </w:r>
      <w:r w:rsidR="00770272" w:rsidRPr="0007631D">
        <w:rPr>
          <w:sz w:val="24"/>
          <w:szCs w:val="24"/>
        </w:rPr>
        <w:t>or dynamically</w:t>
      </w:r>
      <w:r w:rsidR="00E36A16" w:rsidRPr="0007631D">
        <w:rPr>
          <w:sz w:val="24"/>
          <w:szCs w:val="24"/>
        </w:rPr>
        <w:t xml:space="preserve"> (via PDCCH)</w:t>
      </w:r>
      <w:r w:rsidR="00AF307C" w:rsidRPr="0007631D">
        <w:rPr>
          <w:sz w:val="24"/>
          <w:szCs w:val="24"/>
        </w:rPr>
        <w:t>.</w:t>
      </w:r>
      <w:r w:rsidR="000E3941">
        <w:rPr>
          <w:sz w:val="24"/>
          <w:szCs w:val="24"/>
        </w:rPr>
        <w:t xml:space="preserve"> </w:t>
      </w:r>
      <w:r w:rsidR="000E3941">
        <w:rPr>
          <w:sz w:val="24"/>
          <w:szCs w:val="24"/>
          <w:lang w:val="en-GB"/>
        </w:rPr>
        <w:t>I</w:t>
      </w:r>
      <w:r w:rsidR="000E3941" w:rsidRPr="0007631D">
        <w:rPr>
          <w:sz w:val="24"/>
          <w:szCs w:val="24"/>
          <w:lang w:val="en-GB"/>
        </w:rPr>
        <w:t>t is agreed that pre-emption indication will be carried in group-common DCI (GC-DCI).</w:t>
      </w:r>
    </w:p>
    <w:p w14:paraId="37F891BE" w14:textId="1F43DE3A" w:rsidR="00A411A6" w:rsidRPr="0007631D" w:rsidRDefault="00E46BC0" w:rsidP="00A411A6">
      <w:pPr>
        <w:pStyle w:val="Heading2"/>
        <w:rPr>
          <w:rFonts w:ascii="Times New Roman" w:hAnsi="Times New Roman"/>
        </w:rPr>
      </w:pPr>
      <w:r>
        <w:rPr>
          <w:rFonts w:ascii="Times New Roman" w:hAnsi="Times New Roman"/>
        </w:rPr>
        <w:t>Minimum m</w:t>
      </w:r>
      <w:r w:rsidR="00A2761F">
        <w:rPr>
          <w:rFonts w:ascii="Times New Roman" w:hAnsi="Times New Roman"/>
        </w:rPr>
        <w:t xml:space="preserve">onitoring periodicity of </w:t>
      </w:r>
      <w:r w:rsidR="00FB1F61">
        <w:rPr>
          <w:rFonts w:ascii="Times New Roman" w:hAnsi="Times New Roman"/>
        </w:rPr>
        <w:t>pre</w:t>
      </w:r>
      <w:r w:rsidR="007123BD">
        <w:rPr>
          <w:rFonts w:ascii="Times New Roman" w:hAnsi="Times New Roman"/>
        </w:rPr>
        <w:t>-</w:t>
      </w:r>
      <w:r w:rsidR="00A2761F">
        <w:rPr>
          <w:rFonts w:ascii="Times New Roman" w:hAnsi="Times New Roman"/>
        </w:rPr>
        <w:t>emption indication</w:t>
      </w:r>
    </w:p>
    <w:p w14:paraId="3E2EFC3F" w14:textId="0A1D741D" w:rsidR="00E46BC0" w:rsidRDefault="00FB1F61" w:rsidP="005C4ADF">
      <w:pPr>
        <w:tabs>
          <w:tab w:val="num" w:pos="2160"/>
          <w:tab w:val="num" w:pos="2880"/>
        </w:tabs>
        <w:jc w:val="both"/>
        <w:rPr>
          <w:sz w:val="24"/>
          <w:szCs w:val="24"/>
          <w:lang w:val="en-GB"/>
        </w:rPr>
      </w:pPr>
      <w:bookmarkStart w:id="7" w:name="OLE_LINK16"/>
      <w:r>
        <w:rPr>
          <w:sz w:val="24"/>
          <w:szCs w:val="24"/>
          <w:lang w:val="en-GB"/>
        </w:rPr>
        <w:t>It is agreed that slot-level monitoring periodicity of pre-emption indication</w:t>
      </w:r>
      <w:r w:rsidR="00CB37C7">
        <w:rPr>
          <w:sz w:val="24"/>
          <w:szCs w:val="24"/>
          <w:lang w:val="en-GB"/>
        </w:rPr>
        <w:t xml:space="preserve"> is supported</w:t>
      </w:r>
      <w:r>
        <w:rPr>
          <w:sz w:val="24"/>
          <w:szCs w:val="24"/>
          <w:lang w:val="en-GB"/>
        </w:rPr>
        <w:t xml:space="preserve">. </w:t>
      </w:r>
      <w:r w:rsidR="008455F4">
        <w:rPr>
          <w:sz w:val="24"/>
          <w:szCs w:val="24"/>
          <w:lang w:val="en-GB"/>
        </w:rPr>
        <w:t>Next, we discuss the pros and cons</w:t>
      </w:r>
      <w:r>
        <w:rPr>
          <w:sz w:val="24"/>
          <w:szCs w:val="24"/>
          <w:lang w:val="en-GB"/>
        </w:rPr>
        <w:t xml:space="preserve"> of non-slot-based min</w:t>
      </w:r>
      <w:r w:rsidR="00673D6E">
        <w:rPr>
          <w:sz w:val="24"/>
          <w:szCs w:val="24"/>
          <w:lang w:val="en-GB"/>
        </w:rPr>
        <w:t>imum monitoring periodicity of preemption indication.</w:t>
      </w:r>
    </w:p>
    <w:p w14:paraId="70E6E7C4" w14:textId="0FC63839" w:rsidR="004A7EAF" w:rsidRDefault="00CB37C7" w:rsidP="005C4ADF">
      <w:pPr>
        <w:tabs>
          <w:tab w:val="num" w:pos="2160"/>
          <w:tab w:val="num" w:pos="2880"/>
        </w:tabs>
        <w:jc w:val="both"/>
        <w:rPr>
          <w:sz w:val="24"/>
          <w:szCs w:val="24"/>
        </w:rPr>
      </w:pPr>
      <w:r>
        <w:rPr>
          <w:sz w:val="24"/>
          <w:szCs w:val="24"/>
          <w:lang w:val="en-GB"/>
        </w:rPr>
        <w:t>In non-slot-based monitoring of preemption ind</w:t>
      </w:r>
      <w:r w:rsidR="0051426D">
        <w:rPr>
          <w:sz w:val="24"/>
          <w:szCs w:val="24"/>
          <w:lang w:val="en-GB"/>
        </w:rPr>
        <w:t>ication, eMBB UEs monitor group-common DCI for DL preemtion indication every few minislots</w:t>
      </w:r>
      <w:r w:rsidR="00AE1907">
        <w:rPr>
          <w:sz w:val="24"/>
          <w:szCs w:val="24"/>
          <w:lang w:val="en-GB"/>
        </w:rPr>
        <w:t>.</w:t>
      </w:r>
      <w:r w:rsidR="00124FCD">
        <w:rPr>
          <w:sz w:val="24"/>
          <w:szCs w:val="24"/>
          <w:lang w:val="en-GB"/>
        </w:rPr>
        <w:t xml:space="preserve"> </w:t>
      </w:r>
      <w:r w:rsidR="00124FCD">
        <w:rPr>
          <w:sz w:val="24"/>
          <w:szCs w:val="24"/>
        </w:rPr>
        <w:t xml:space="preserve">Figure 3 shows that </w:t>
      </w:r>
      <w:r w:rsidR="00490FBC">
        <w:rPr>
          <w:sz w:val="24"/>
          <w:szCs w:val="24"/>
        </w:rPr>
        <w:t xml:space="preserve">an </w:t>
      </w:r>
      <w:r w:rsidR="00124FCD" w:rsidRPr="0007631D">
        <w:rPr>
          <w:sz w:val="24"/>
          <w:szCs w:val="24"/>
        </w:rPr>
        <w:t xml:space="preserve">eMBB UE </w:t>
      </w:r>
      <w:r w:rsidR="00490FBC">
        <w:rPr>
          <w:sz w:val="24"/>
          <w:szCs w:val="24"/>
        </w:rPr>
        <w:t>can</w:t>
      </w:r>
      <w:r w:rsidR="00124FCD" w:rsidRPr="0007631D">
        <w:rPr>
          <w:sz w:val="24"/>
          <w:szCs w:val="24"/>
        </w:rPr>
        <w:t xml:space="preserve"> start decoding </w:t>
      </w:r>
      <w:r w:rsidR="00F47365">
        <w:rPr>
          <w:sz w:val="24"/>
          <w:szCs w:val="24"/>
        </w:rPr>
        <w:t>with</w:t>
      </w:r>
      <w:r w:rsidR="00F34483">
        <w:rPr>
          <w:sz w:val="24"/>
          <w:szCs w:val="24"/>
        </w:rPr>
        <w:t xml:space="preserve"> the pre</w:t>
      </w:r>
      <w:r w:rsidR="002147DF">
        <w:rPr>
          <w:sz w:val="24"/>
          <w:szCs w:val="24"/>
        </w:rPr>
        <w:t xml:space="preserve">emption </w:t>
      </w:r>
      <w:r w:rsidR="00124FCD" w:rsidRPr="0007631D">
        <w:rPr>
          <w:sz w:val="24"/>
          <w:szCs w:val="24"/>
        </w:rPr>
        <w:t>information before the enti</w:t>
      </w:r>
      <w:r w:rsidR="00CF13E4">
        <w:rPr>
          <w:sz w:val="24"/>
          <w:szCs w:val="24"/>
        </w:rPr>
        <w:t>re slot</w:t>
      </w:r>
      <w:r w:rsidR="00392080">
        <w:rPr>
          <w:sz w:val="24"/>
          <w:szCs w:val="24"/>
        </w:rPr>
        <w:t xml:space="preserve"> is</w:t>
      </w:r>
      <w:r w:rsidR="00CF13E4">
        <w:rPr>
          <w:sz w:val="24"/>
          <w:szCs w:val="24"/>
        </w:rPr>
        <w:t xml:space="preserve"> </w:t>
      </w:r>
      <w:r w:rsidR="00803028">
        <w:rPr>
          <w:sz w:val="24"/>
          <w:szCs w:val="24"/>
        </w:rPr>
        <w:t>received</w:t>
      </w:r>
      <w:r w:rsidR="00CF13E4">
        <w:rPr>
          <w:sz w:val="24"/>
          <w:szCs w:val="24"/>
        </w:rPr>
        <w:t>, substantially</w:t>
      </w:r>
      <w:r w:rsidR="00124FCD" w:rsidRPr="0007631D">
        <w:rPr>
          <w:sz w:val="24"/>
          <w:szCs w:val="24"/>
        </w:rPr>
        <w:t xml:space="preserve"> imp</w:t>
      </w:r>
      <w:r w:rsidR="009A1473">
        <w:rPr>
          <w:sz w:val="24"/>
          <w:szCs w:val="24"/>
        </w:rPr>
        <w:t>roving the processing pipeline</w:t>
      </w:r>
      <w:r w:rsidR="00124FCD" w:rsidRPr="0007631D">
        <w:rPr>
          <w:sz w:val="24"/>
          <w:szCs w:val="24"/>
        </w:rPr>
        <w:t xml:space="preserve"> and reducing buffering for </w:t>
      </w:r>
      <w:r w:rsidR="00CF13E4">
        <w:rPr>
          <w:sz w:val="24"/>
          <w:szCs w:val="24"/>
        </w:rPr>
        <w:t xml:space="preserve">the </w:t>
      </w:r>
      <w:r w:rsidR="00124FCD" w:rsidRPr="0007631D">
        <w:rPr>
          <w:sz w:val="24"/>
          <w:szCs w:val="24"/>
        </w:rPr>
        <w:t>eMBB UE.</w:t>
      </w:r>
      <w:r w:rsidR="00661456">
        <w:rPr>
          <w:sz w:val="24"/>
          <w:szCs w:val="24"/>
        </w:rPr>
        <w:t xml:space="preserve"> </w:t>
      </w:r>
      <w:r w:rsidR="00904425">
        <w:rPr>
          <w:sz w:val="24"/>
          <w:szCs w:val="24"/>
        </w:rPr>
        <w:t xml:space="preserve">While the decoding performance of eMBB data improves with the implementation of preemption indication, </w:t>
      </w:r>
      <w:r w:rsidR="00E85AED">
        <w:rPr>
          <w:sz w:val="24"/>
          <w:szCs w:val="24"/>
        </w:rPr>
        <w:t xml:space="preserve">some physical resources </w:t>
      </w:r>
      <w:r w:rsidR="00DC6689">
        <w:rPr>
          <w:sz w:val="24"/>
          <w:szCs w:val="24"/>
        </w:rPr>
        <w:t>are needed</w:t>
      </w:r>
      <w:r w:rsidR="00E85AED">
        <w:rPr>
          <w:sz w:val="24"/>
          <w:szCs w:val="24"/>
        </w:rPr>
        <w:t xml:space="preserve"> to carry </w:t>
      </w:r>
      <w:r w:rsidR="00FF7090">
        <w:rPr>
          <w:sz w:val="24"/>
          <w:szCs w:val="24"/>
        </w:rPr>
        <w:t>G</w:t>
      </w:r>
      <w:r w:rsidR="00DC6689">
        <w:rPr>
          <w:sz w:val="24"/>
          <w:szCs w:val="24"/>
        </w:rPr>
        <w:t>C-DCI</w:t>
      </w:r>
      <w:r w:rsidR="00FD4005">
        <w:rPr>
          <w:sz w:val="24"/>
          <w:szCs w:val="24"/>
        </w:rPr>
        <w:t>. The</w:t>
      </w:r>
      <w:r w:rsidR="007F32FB">
        <w:rPr>
          <w:sz w:val="24"/>
          <w:szCs w:val="24"/>
        </w:rPr>
        <w:t xml:space="preserve"> GC-DCI can </w:t>
      </w:r>
      <w:r w:rsidR="004F1115">
        <w:rPr>
          <w:sz w:val="24"/>
          <w:szCs w:val="24"/>
        </w:rPr>
        <w:t xml:space="preserve">share </w:t>
      </w:r>
      <w:r w:rsidR="00192A30">
        <w:rPr>
          <w:sz w:val="24"/>
          <w:szCs w:val="24"/>
        </w:rPr>
        <w:t xml:space="preserve">the </w:t>
      </w:r>
      <w:r w:rsidR="004D0C65">
        <w:rPr>
          <w:sz w:val="24"/>
          <w:szCs w:val="24"/>
        </w:rPr>
        <w:t xml:space="preserve">URLLC </w:t>
      </w:r>
      <w:r w:rsidR="00766FF6">
        <w:rPr>
          <w:sz w:val="24"/>
          <w:szCs w:val="24"/>
        </w:rPr>
        <w:t xml:space="preserve">mini-slot based </w:t>
      </w:r>
      <w:r w:rsidR="00277B19">
        <w:rPr>
          <w:sz w:val="24"/>
          <w:szCs w:val="24"/>
        </w:rPr>
        <w:t>CORESET</w:t>
      </w:r>
      <w:r w:rsidR="005636BE">
        <w:rPr>
          <w:sz w:val="24"/>
          <w:szCs w:val="24"/>
        </w:rPr>
        <w:t xml:space="preserve"> </w:t>
      </w:r>
      <w:r w:rsidR="00071AB0">
        <w:rPr>
          <w:sz w:val="24"/>
          <w:szCs w:val="24"/>
        </w:rPr>
        <w:t>for high efficiency and simplifying the design</w:t>
      </w:r>
      <w:r w:rsidR="00DC6689">
        <w:rPr>
          <w:sz w:val="24"/>
          <w:szCs w:val="24"/>
        </w:rPr>
        <w:t>.</w:t>
      </w:r>
      <w:r w:rsidR="00F4416D">
        <w:rPr>
          <w:sz w:val="24"/>
          <w:szCs w:val="24"/>
        </w:rPr>
        <w:t xml:space="preserve"> Another concern regarding non-slot-based monitoring</w:t>
      </w:r>
      <w:r w:rsidR="00C03436">
        <w:rPr>
          <w:sz w:val="24"/>
          <w:szCs w:val="24"/>
        </w:rPr>
        <w:t xml:space="preserve"> of preemption indication</w:t>
      </w:r>
      <w:r w:rsidR="00F4416D">
        <w:rPr>
          <w:sz w:val="24"/>
          <w:szCs w:val="24"/>
        </w:rPr>
        <w:t xml:space="preserve"> is the</w:t>
      </w:r>
      <w:r w:rsidR="001E0151">
        <w:rPr>
          <w:sz w:val="24"/>
          <w:szCs w:val="24"/>
        </w:rPr>
        <w:t xml:space="preserve"> </w:t>
      </w:r>
      <w:r w:rsidR="00F4416D">
        <w:rPr>
          <w:sz w:val="24"/>
          <w:szCs w:val="24"/>
        </w:rPr>
        <w:t>energy consumption of eMBB UEs</w:t>
      </w:r>
      <w:r w:rsidR="00DF526E">
        <w:rPr>
          <w:sz w:val="24"/>
          <w:szCs w:val="24"/>
        </w:rPr>
        <w:t>. Note that eMBB UEs are only required to monitor preemption indication when their PDSCH is scheduled.</w:t>
      </w:r>
      <w:r w:rsidR="001E0151">
        <w:rPr>
          <w:sz w:val="24"/>
          <w:szCs w:val="24"/>
        </w:rPr>
        <w:t xml:space="preserve"> </w:t>
      </w:r>
      <w:r w:rsidR="00FB3B8C">
        <w:rPr>
          <w:sz w:val="24"/>
          <w:szCs w:val="24"/>
        </w:rPr>
        <w:t>The additional energy overhead</w:t>
      </w:r>
      <w:r w:rsidR="00B959E5">
        <w:rPr>
          <w:sz w:val="24"/>
          <w:szCs w:val="24"/>
        </w:rPr>
        <w:t xml:space="preserve"> of more f</w:t>
      </w:r>
      <w:r w:rsidR="00B41EE1">
        <w:rPr>
          <w:sz w:val="24"/>
          <w:szCs w:val="24"/>
        </w:rPr>
        <w:t>requent</w:t>
      </w:r>
      <w:r w:rsidR="00B959E5">
        <w:rPr>
          <w:sz w:val="24"/>
          <w:szCs w:val="24"/>
        </w:rPr>
        <w:t xml:space="preserve"> monitoring of preemption indication</w:t>
      </w:r>
      <w:r w:rsidR="002C162E">
        <w:rPr>
          <w:sz w:val="24"/>
          <w:szCs w:val="24"/>
        </w:rPr>
        <w:t xml:space="preserve"> is relatively </w:t>
      </w:r>
      <w:r w:rsidR="00FB3B8C">
        <w:rPr>
          <w:sz w:val="24"/>
          <w:szCs w:val="24"/>
        </w:rPr>
        <w:t xml:space="preserve">small compared to </w:t>
      </w:r>
      <w:r w:rsidR="001A2A71">
        <w:rPr>
          <w:sz w:val="24"/>
          <w:szCs w:val="24"/>
        </w:rPr>
        <w:t xml:space="preserve">the energy consumption of </w:t>
      </w:r>
      <w:r w:rsidR="00F378E2">
        <w:rPr>
          <w:sz w:val="24"/>
          <w:szCs w:val="24"/>
        </w:rPr>
        <w:t>the</w:t>
      </w:r>
      <w:r w:rsidR="0052655D">
        <w:rPr>
          <w:sz w:val="24"/>
          <w:szCs w:val="24"/>
        </w:rPr>
        <w:t xml:space="preserve"> </w:t>
      </w:r>
      <w:r w:rsidR="00890786">
        <w:rPr>
          <w:sz w:val="24"/>
          <w:szCs w:val="24"/>
        </w:rPr>
        <w:t xml:space="preserve">ongoing </w:t>
      </w:r>
      <w:r w:rsidR="0052655D">
        <w:rPr>
          <w:sz w:val="24"/>
          <w:szCs w:val="24"/>
        </w:rPr>
        <w:t>eMBB</w:t>
      </w:r>
      <w:r w:rsidR="00F378E2">
        <w:rPr>
          <w:sz w:val="24"/>
          <w:szCs w:val="24"/>
        </w:rPr>
        <w:t xml:space="preserve"> </w:t>
      </w:r>
      <w:r w:rsidR="001A2A71">
        <w:rPr>
          <w:sz w:val="24"/>
          <w:szCs w:val="24"/>
        </w:rPr>
        <w:t>PDSCH transmissions.</w:t>
      </w:r>
      <w:r w:rsidR="00792028">
        <w:rPr>
          <w:sz w:val="24"/>
          <w:szCs w:val="24"/>
        </w:rPr>
        <w:t xml:space="preserve"> Hence, the impact </w:t>
      </w:r>
      <w:r w:rsidR="004B3795">
        <w:rPr>
          <w:sz w:val="24"/>
          <w:szCs w:val="24"/>
        </w:rPr>
        <w:t>on</w:t>
      </w:r>
      <w:r w:rsidR="0050409D">
        <w:rPr>
          <w:sz w:val="24"/>
          <w:szCs w:val="24"/>
        </w:rPr>
        <w:t xml:space="preserve"> the</w:t>
      </w:r>
      <w:r w:rsidR="00792028">
        <w:rPr>
          <w:sz w:val="24"/>
          <w:szCs w:val="24"/>
        </w:rPr>
        <w:t xml:space="preserve"> energy consumption</w:t>
      </w:r>
      <w:r w:rsidR="0050409D">
        <w:rPr>
          <w:sz w:val="24"/>
          <w:szCs w:val="24"/>
        </w:rPr>
        <w:t xml:space="preserve"> of eMBB UEs</w:t>
      </w:r>
      <w:r w:rsidR="00792028">
        <w:rPr>
          <w:sz w:val="24"/>
          <w:szCs w:val="24"/>
        </w:rPr>
        <w:t xml:space="preserve"> should be </w:t>
      </w:r>
      <w:r w:rsidR="00592083">
        <w:rPr>
          <w:sz w:val="24"/>
          <w:szCs w:val="24"/>
        </w:rPr>
        <w:t>minor</w:t>
      </w:r>
      <w:r w:rsidR="00792028">
        <w:rPr>
          <w:sz w:val="24"/>
          <w:szCs w:val="24"/>
        </w:rPr>
        <w:t>.</w:t>
      </w:r>
    </w:p>
    <w:p w14:paraId="4728280E" w14:textId="77777777" w:rsidR="009B107E" w:rsidRPr="0007631D" w:rsidRDefault="009B107E" w:rsidP="009B107E">
      <w:pPr>
        <w:tabs>
          <w:tab w:val="num" w:pos="2160"/>
          <w:tab w:val="num" w:pos="2880"/>
        </w:tabs>
        <w:jc w:val="both"/>
        <w:rPr>
          <w:b/>
          <w:sz w:val="22"/>
        </w:rPr>
      </w:pPr>
      <w:r w:rsidRPr="0007631D">
        <w:rPr>
          <w:b/>
          <w:noProof/>
          <w:sz w:val="22"/>
        </w:rPr>
        <w:lastRenderedPageBreak/>
        <w:drawing>
          <wp:inline distT="0" distB="0" distL="0" distR="0" wp14:anchorId="03184D98" wp14:editId="02DB0BD8">
            <wp:extent cx="5952422" cy="3121463"/>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81047" cy="3136474"/>
                    </a:xfrm>
                    <a:prstGeom prst="rect">
                      <a:avLst/>
                    </a:prstGeom>
                    <a:noFill/>
                  </pic:spPr>
                </pic:pic>
              </a:graphicData>
            </a:graphic>
          </wp:inline>
        </w:drawing>
      </w:r>
    </w:p>
    <w:p w14:paraId="257B464C" w14:textId="37811154" w:rsidR="009B107E" w:rsidRPr="007210FB" w:rsidRDefault="009B107E" w:rsidP="007210FB">
      <w:pPr>
        <w:jc w:val="center"/>
        <w:rPr>
          <w:b/>
          <w:lang w:eastAsia="ko-KR"/>
        </w:rPr>
      </w:pPr>
      <w:r w:rsidRPr="0007631D">
        <w:rPr>
          <w:b/>
          <w:sz w:val="22"/>
        </w:rPr>
        <w:t>Figure 3. Buffering behavior of</w:t>
      </w:r>
      <w:r>
        <w:rPr>
          <w:b/>
          <w:sz w:val="22"/>
        </w:rPr>
        <w:t xml:space="preserve"> an</w:t>
      </w:r>
      <w:r w:rsidRPr="0007631D">
        <w:rPr>
          <w:b/>
          <w:sz w:val="22"/>
        </w:rPr>
        <w:t xml:space="preserve"> eMBB UE for slot</w:t>
      </w:r>
      <w:r>
        <w:rPr>
          <w:b/>
          <w:sz w:val="22"/>
        </w:rPr>
        <w:t>-based</w:t>
      </w:r>
      <w:r w:rsidRPr="0007631D">
        <w:rPr>
          <w:b/>
          <w:sz w:val="22"/>
        </w:rPr>
        <w:t xml:space="preserve"> and mini-slot</w:t>
      </w:r>
      <w:r>
        <w:rPr>
          <w:b/>
          <w:sz w:val="22"/>
        </w:rPr>
        <w:t xml:space="preserve">-based </w:t>
      </w:r>
      <w:r w:rsidRPr="0007631D">
        <w:rPr>
          <w:b/>
          <w:sz w:val="22"/>
        </w:rPr>
        <w:t xml:space="preserve">monitoring </w:t>
      </w:r>
      <w:r>
        <w:rPr>
          <w:b/>
          <w:sz w:val="22"/>
        </w:rPr>
        <w:t xml:space="preserve">of </w:t>
      </w:r>
      <w:r w:rsidR="007210FB">
        <w:rPr>
          <w:b/>
          <w:sz w:val="22"/>
        </w:rPr>
        <w:t>preemption indication.</w:t>
      </w:r>
    </w:p>
    <w:p w14:paraId="686B10B1" w14:textId="5DB0777C" w:rsidR="004A7EAF" w:rsidRDefault="001D2B70" w:rsidP="005C4ADF">
      <w:pPr>
        <w:tabs>
          <w:tab w:val="num" w:pos="2160"/>
          <w:tab w:val="num" w:pos="2880"/>
        </w:tabs>
        <w:jc w:val="both"/>
        <w:rPr>
          <w:sz w:val="24"/>
          <w:szCs w:val="24"/>
        </w:rPr>
      </w:pPr>
      <w:r>
        <w:rPr>
          <w:sz w:val="24"/>
          <w:szCs w:val="24"/>
        </w:rPr>
        <w:t xml:space="preserve">Another benefit of non-slot-based monitoring of preemption indication </w:t>
      </w:r>
      <w:r w:rsidR="008F3FCD">
        <w:rPr>
          <w:sz w:val="24"/>
          <w:szCs w:val="24"/>
        </w:rPr>
        <w:t>is the demodulation performance of eMBB data.</w:t>
      </w:r>
      <w:r w:rsidR="007E6FB4">
        <w:rPr>
          <w:sz w:val="24"/>
          <w:szCs w:val="24"/>
        </w:rPr>
        <w:t xml:space="preserve"> In Figure 4(a), if the </w:t>
      </w:r>
      <w:r w:rsidR="00E5037A">
        <w:rPr>
          <w:sz w:val="24"/>
          <w:szCs w:val="24"/>
        </w:rPr>
        <w:t>first set of DMRS</w:t>
      </w:r>
      <w:r w:rsidR="00245477">
        <w:rPr>
          <w:sz w:val="24"/>
          <w:szCs w:val="24"/>
        </w:rPr>
        <w:t xml:space="preserve"> in a</w:t>
      </w:r>
      <w:r w:rsidR="00E5037A">
        <w:rPr>
          <w:sz w:val="24"/>
          <w:szCs w:val="24"/>
        </w:rPr>
        <w:t xml:space="preserve"> slot is punctured, the</w:t>
      </w:r>
      <w:r w:rsidR="000D616F">
        <w:rPr>
          <w:sz w:val="24"/>
          <w:szCs w:val="24"/>
        </w:rPr>
        <w:t xml:space="preserve"> following</w:t>
      </w:r>
      <w:r w:rsidR="00E5037A">
        <w:rPr>
          <w:sz w:val="24"/>
          <w:szCs w:val="24"/>
        </w:rPr>
        <w:t xml:space="preserve"> preemption indication enables the eMBB UE</w:t>
      </w:r>
      <w:r w:rsidR="003B713D">
        <w:rPr>
          <w:sz w:val="24"/>
          <w:szCs w:val="24"/>
        </w:rPr>
        <w:t xml:space="preserve"> to discard the punctured DMRS</w:t>
      </w:r>
      <w:r w:rsidR="001920F6">
        <w:rPr>
          <w:sz w:val="24"/>
          <w:szCs w:val="24"/>
        </w:rPr>
        <w:t xml:space="preserve"> </w:t>
      </w:r>
      <w:r w:rsidR="00434074">
        <w:rPr>
          <w:sz w:val="24"/>
          <w:szCs w:val="24"/>
        </w:rPr>
        <w:t>and onl</w:t>
      </w:r>
      <w:r w:rsidR="001B19DD">
        <w:rPr>
          <w:sz w:val="24"/>
          <w:szCs w:val="24"/>
        </w:rPr>
        <w:t xml:space="preserve">y use the second set of DMRS </w:t>
      </w:r>
      <w:r w:rsidR="000C60A6">
        <w:rPr>
          <w:sz w:val="24"/>
          <w:szCs w:val="24"/>
        </w:rPr>
        <w:t>in decoding data</w:t>
      </w:r>
      <w:r w:rsidR="001920F6">
        <w:rPr>
          <w:sz w:val="24"/>
          <w:szCs w:val="24"/>
        </w:rPr>
        <w:t>.</w:t>
      </w:r>
      <w:r w:rsidR="009329A6">
        <w:rPr>
          <w:sz w:val="24"/>
          <w:szCs w:val="24"/>
        </w:rPr>
        <w:t xml:space="preserve"> On the other hand, Figure 4(b) shows that, </w:t>
      </w:r>
      <w:r w:rsidR="00E25962">
        <w:rPr>
          <w:sz w:val="24"/>
          <w:szCs w:val="24"/>
        </w:rPr>
        <w:t xml:space="preserve">in the case of slot-based monitoring, </w:t>
      </w:r>
      <w:r w:rsidR="00A9063D">
        <w:rPr>
          <w:sz w:val="24"/>
          <w:szCs w:val="24"/>
        </w:rPr>
        <w:t xml:space="preserve">the </w:t>
      </w:r>
      <w:r w:rsidR="00B20470">
        <w:rPr>
          <w:sz w:val="24"/>
          <w:szCs w:val="24"/>
        </w:rPr>
        <w:t>eMBB UE may wrongly</w:t>
      </w:r>
      <w:r w:rsidR="00A9063D">
        <w:rPr>
          <w:sz w:val="24"/>
          <w:szCs w:val="24"/>
        </w:rPr>
        <w:t xml:space="preserve"> use the punctured DMRS </w:t>
      </w:r>
      <w:r w:rsidR="00AB57E1">
        <w:rPr>
          <w:sz w:val="24"/>
          <w:szCs w:val="24"/>
        </w:rPr>
        <w:t>to</w:t>
      </w:r>
      <w:r w:rsidR="00A9063D">
        <w:rPr>
          <w:sz w:val="24"/>
          <w:szCs w:val="24"/>
        </w:rPr>
        <w:t xml:space="preserve"> decod</w:t>
      </w:r>
      <w:r w:rsidR="00AB57E1">
        <w:rPr>
          <w:sz w:val="24"/>
          <w:szCs w:val="24"/>
        </w:rPr>
        <w:t>e</w:t>
      </w:r>
      <w:r w:rsidR="00A9063D">
        <w:rPr>
          <w:sz w:val="24"/>
          <w:szCs w:val="24"/>
        </w:rPr>
        <w:t xml:space="preserve"> data within the slot, resulting in poor </w:t>
      </w:r>
      <w:r w:rsidR="007B4E66">
        <w:rPr>
          <w:sz w:val="24"/>
          <w:szCs w:val="24"/>
        </w:rPr>
        <w:t xml:space="preserve">BLER </w:t>
      </w:r>
      <w:r w:rsidR="003C3498">
        <w:rPr>
          <w:sz w:val="24"/>
          <w:szCs w:val="24"/>
        </w:rPr>
        <w:t>performance.</w:t>
      </w:r>
      <w:r w:rsidR="005E4BA4">
        <w:rPr>
          <w:sz w:val="24"/>
          <w:szCs w:val="24"/>
        </w:rPr>
        <w:t xml:space="preserve"> </w:t>
      </w:r>
      <w:r w:rsidR="007151F9">
        <w:rPr>
          <w:sz w:val="24"/>
          <w:szCs w:val="24"/>
        </w:rPr>
        <w:t>Of course, o</w:t>
      </w:r>
      <w:r w:rsidR="005E4BA4">
        <w:rPr>
          <w:sz w:val="24"/>
          <w:szCs w:val="24"/>
        </w:rPr>
        <w:t xml:space="preserve">ne may argue that DMRS and data can </w:t>
      </w:r>
      <w:r w:rsidR="00C12C22">
        <w:rPr>
          <w:sz w:val="24"/>
          <w:szCs w:val="24"/>
        </w:rPr>
        <w:t xml:space="preserve">potentially </w:t>
      </w:r>
      <w:r w:rsidR="005E4BA4">
        <w:rPr>
          <w:sz w:val="24"/>
          <w:szCs w:val="24"/>
        </w:rPr>
        <w:t xml:space="preserve">be </w:t>
      </w:r>
      <w:r w:rsidR="00D67241">
        <w:rPr>
          <w:sz w:val="24"/>
          <w:szCs w:val="24"/>
        </w:rPr>
        <w:t xml:space="preserve">all </w:t>
      </w:r>
      <w:r w:rsidR="005E4BA4">
        <w:rPr>
          <w:sz w:val="24"/>
          <w:szCs w:val="24"/>
        </w:rPr>
        <w:t xml:space="preserve">buffered </w:t>
      </w:r>
      <w:r w:rsidR="009C4595">
        <w:rPr>
          <w:sz w:val="24"/>
          <w:szCs w:val="24"/>
        </w:rPr>
        <w:t xml:space="preserve">until </w:t>
      </w:r>
      <w:r w:rsidR="007D37BF">
        <w:rPr>
          <w:sz w:val="24"/>
          <w:szCs w:val="24"/>
        </w:rPr>
        <w:t>at the end of the slot</w:t>
      </w:r>
      <w:r w:rsidR="00A25448">
        <w:rPr>
          <w:sz w:val="24"/>
          <w:szCs w:val="24"/>
        </w:rPr>
        <w:t xml:space="preserve"> for</w:t>
      </w:r>
      <w:r w:rsidR="007D37BF">
        <w:rPr>
          <w:sz w:val="24"/>
          <w:szCs w:val="24"/>
        </w:rPr>
        <w:t xml:space="preserve"> decoding</w:t>
      </w:r>
      <w:r w:rsidR="00C979D5">
        <w:rPr>
          <w:sz w:val="24"/>
          <w:szCs w:val="24"/>
        </w:rPr>
        <w:t xml:space="preserve">. </w:t>
      </w:r>
      <w:r w:rsidR="00703FA6">
        <w:rPr>
          <w:sz w:val="24"/>
          <w:szCs w:val="24"/>
        </w:rPr>
        <w:t>But again,</w:t>
      </w:r>
      <w:r w:rsidR="007D37BF">
        <w:rPr>
          <w:sz w:val="24"/>
          <w:szCs w:val="24"/>
        </w:rPr>
        <w:t xml:space="preserve"> it adversely impact</w:t>
      </w:r>
      <w:r w:rsidR="00581B2E">
        <w:rPr>
          <w:sz w:val="24"/>
          <w:szCs w:val="24"/>
        </w:rPr>
        <w:t>s</w:t>
      </w:r>
      <w:r w:rsidR="007D37BF">
        <w:rPr>
          <w:sz w:val="24"/>
          <w:szCs w:val="24"/>
        </w:rPr>
        <w:t xml:space="preserve"> the processing timeline and requires </w:t>
      </w:r>
      <w:r w:rsidR="00CD124B">
        <w:rPr>
          <w:sz w:val="24"/>
          <w:szCs w:val="24"/>
        </w:rPr>
        <w:t xml:space="preserve">larger buffering at the </w:t>
      </w:r>
      <w:r w:rsidR="00A85628">
        <w:rPr>
          <w:sz w:val="24"/>
          <w:szCs w:val="24"/>
        </w:rPr>
        <w:t xml:space="preserve">eMBB </w:t>
      </w:r>
      <w:r w:rsidR="00CD124B">
        <w:rPr>
          <w:sz w:val="24"/>
          <w:szCs w:val="24"/>
        </w:rPr>
        <w:t xml:space="preserve">UE, which </w:t>
      </w:r>
      <w:r w:rsidR="00FA0F96">
        <w:rPr>
          <w:sz w:val="24"/>
          <w:szCs w:val="24"/>
        </w:rPr>
        <w:t xml:space="preserve">is </w:t>
      </w:r>
      <w:r w:rsidR="00D76283">
        <w:rPr>
          <w:sz w:val="24"/>
          <w:szCs w:val="24"/>
        </w:rPr>
        <w:t>undesirable</w:t>
      </w:r>
      <w:r w:rsidR="000F5854">
        <w:rPr>
          <w:sz w:val="24"/>
          <w:szCs w:val="24"/>
        </w:rPr>
        <w:t>.</w:t>
      </w:r>
    </w:p>
    <w:tbl>
      <w:tblPr>
        <w:tblStyle w:val="TableGrid"/>
        <w:tblW w:w="0" w:type="auto"/>
        <w:tblLook w:val="04A0" w:firstRow="1" w:lastRow="0" w:firstColumn="1" w:lastColumn="0" w:noHBand="0" w:noVBand="1"/>
      </w:tblPr>
      <w:tblGrid>
        <w:gridCol w:w="4951"/>
        <w:gridCol w:w="4951"/>
      </w:tblGrid>
      <w:tr w:rsidR="009503E5" w14:paraId="772064E3" w14:textId="77777777" w:rsidTr="00FD45BB">
        <w:trPr>
          <w:trHeight w:val="2369"/>
        </w:trPr>
        <w:tc>
          <w:tcPr>
            <w:tcW w:w="4951" w:type="dxa"/>
            <w:tcBorders>
              <w:top w:val="nil"/>
              <w:left w:val="nil"/>
              <w:bottom w:val="nil"/>
              <w:right w:val="nil"/>
            </w:tcBorders>
          </w:tcPr>
          <w:p w14:paraId="42CA1D01" w14:textId="35F4CC80" w:rsidR="009503E5" w:rsidRDefault="00CA54E1" w:rsidP="009A301B">
            <w:pPr>
              <w:tabs>
                <w:tab w:val="num" w:pos="2160"/>
                <w:tab w:val="num" w:pos="2880"/>
              </w:tabs>
              <w:jc w:val="center"/>
              <w:rPr>
                <w:sz w:val="24"/>
                <w:szCs w:val="24"/>
              </w:rPr>
            </w:pPr>
            <w:r>
              <w:rPr>
                <w:noProof/>
                <w:sz w:val="24"/>
                <w:szCs w:val="24"/>
              </w:rPr>
              <w:drawing>
                <wp:inline distT="0" distB="0" distL="0" distR="0" wp14:anchorId="2808C591" wp14:editId="3DAABA3B">
                  <wp:extent cx="2086514" cy="1763904"/>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21924" cy="1793839"/>
                          </a:xfrm>
                          <a:prstGeom prst="rect">
                            <a:avLst/>
                          </a:prstGeom>
                          <a:noFill/>
                        </pic:spPr>
                      </pic:pic>
                    </a:graphicData>
                  </a:graphic>
                </wp:inline>
              </w:drawing>
            </w:r>
          </w:p>
          <w:p w14:paraId="65567F83" w14:textId="4D906D38" w:rsidR="009503E5" w:rsidRPr="009503E5" w:rsidRDefault="009503E5" w:rsidP="009503E5">
            <w:pPr>
              <w:pStyle w:val="Caption"/>
              <w:numPr>
                <w:ilvl w:val="0"/>
                <w:numId w:val="13"/>
              </w:numPr>
              <w:jc w:val="center"/>
              <w:rPr>
                <w:noProof/>
              </w:rPr>
            </w:pPr>
            <w:r>
              <w:rPr>
                <w:noProof/>
              </w:rPr>
              <w:t>Non-slot-based monitoring of preemtion indication</w:t>
            </w:r>
          </w:p>
        </w:tc>
        <w:tc>
          <w:tcPr>
            <w:tcW w:w="4951" w:type="dxa"/>
            <w:tcBorders>
              <w:top w:val="nil"/>
              <w:left w:val="nil"/>
              <w:bottom w:val="nil"/>
              <w:right w:val="nil"/>
            </w:tcBorders>
          </w:tcPr>
          <w:p w14:paraId="70C151D0" w14:textId="77777777" w:rsidR="009503E5" w:rsidRDefault="009503E5" w:rsidP="009A301B">
            <w:pPr>
              <w:tabs>
                <w:tab w:val="num" w:pos="2160"/>
                <w:tab w:val="num" w:pos="2880"/>
              </w:tabs>
              <w:jc w:val="center"/>
              <w:rPr>
                <w:sz w:val="24"/>
                <w:szCs w:val="24"/>
              </w:rPr>
            </w:pPr>
            <w:r>
              <w:rPr>
                <w:noProof/>
                <w:sz w:val="24"/>
                <w:szCs w:val="24"/>
              </w:rPr>
              <w:drawing>
                <wp:inline distT="0" distB="0" distL="0" distR="0" wp14:anchorId="12616CF1" wp14:editId="09DB1DB1">
                  <wp:extent cx="2083444" cy="1760731"/>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26980" cy="1797524"/>
                          </a:xfrm>
                          <a:prstGeom prst="rect">
                            <a:avLst/>
                          </a:prstGeom>
                          <a:noFill/>
                        </pic:spPr>
                      </pic:pic>
                    </a:graphicData>
                  </a:graphic>
                </wp:inline>
              </w:drawing>
            </w:r>
          </w:p>
          <w:p w14:paraId="4266A6F9" w14:textId="48E73DE2" w:rsidR="009503E5" w:rsidRPr="00FD45BB" w:rsidRDefault="009503E5" w:rsidP="00FD45BB">
            <w:pPr>
              <w:pStyle w:val="Caption"/>
              <w:numPr>
                <w:ilvl w:val="0"/>
                <w:numId w:val="13"/>
              </w:numPr>
              <w:jc w:val="center"/>
            </w:pPr>
            <w:r w:rsidRPr="00CE0F04">
              <w:t>Slot-based</w:t>
            </w:r>
            <w:r>
              <w:t xml:space="preserve"> monitoring of preemption indication</w:t>
            </w:r>
          </w:p>
        </w:tc>
      </w:tr>
    </w:tbl>
    <w:p w14:paraId="633EACEE" w14:textId="416BDC34" w:rsidR="00401EE4" w:rsidRPr="00CE0F04" w:rsidRDefault="00370499" w:rsidP="00C25803">
      <w:pPr>
        <w:pStyle w:val="Caption"/>
        <w:jc w:val="center"/>
      </w:pPr>
      <w:r>
        <w:t xml:space="preserve">Figure 4: </w:t>
      </w:r>
      <w:r w:rsidR="001C43B9">
        <w:t>The us</w:t>
      </w:r>
      <w:r w:rsidR="00CE1E82">
        <w:t>age</w:t>
      </w:r>
      <w:r w:rsidR="001C43B9">
        <w:t xml:space="preserve"> of DMRS under non-slot-based and slot-based monitoring of preemption indication.</w:t>
      </w:r>
    </w:p>
    <w:p w14:paraId="7555DA0B" w14:textId="6D7231DD" w:rsidR="008F3FCD" w:rsidRDefault="00D37E26" w:rsidP="005C4ADF">
      <w:pPr>
        <w:tabs>
          <w:tab w:val="num" w:pos="2160"/>
          <w:tab w:val="num" w:pos="2880"/>
        </w:tabs>
        <w:jc w:val="both"/>
        <w:rPr>
          <w:sz w:val="24"/>
          <w:szCs w:val="24"/>
        </w:rPr>
      </w:pPr>
      <w:r w:rsidRPr="00CE0F04">
        <w:rPr>
          <w:sz w:val="24"/>
          <w:szCs w:val="24"/>
        </w:rPr>
        <w:t xml:space="preserve">Finally, </w:t>
      </w:r>
      <w:r w:rsidR="005B4F6F" w:rsidRPr="00CE0F04">
        <w:rPr>
          <w:sz w:val="24"/>
          <w:szCs w:val="24"/>
        </w:rPr>
        <w:t xml:space="preserve">URLLC UEs may exploit the preemption indication </w:t>
      </w:r>
      <w:r w:rsidR="00E541FA" w:rsidRPr="00CE0F04">
        <w:rPr>
          <w:sz w:val="24"/>
          <w:szCs w:val="24"/>
        </w:rPr>
        <w:t xml:space="preserve">to improve the reliability of decoding their </w:t>
      </w:r>
      <w:r w:rsidR="00EE339F" w:rsidRPr="00CE0F04">
        <w:rPr>
          <w:sz w:val="24"/>
          <w:szCs w:val="24"/>
        </w:rPr>
        <w:t>DL</w:t>
      </w:r>
      <w:r w:rsidR="00E541FA" w:rsidRPr="00CE0F04">
        <w:rPr>
          <w:sz w:val="24"/>
          <w:szCs w:val="24"/>
        </w:rPr>
        <w:t xml:space="preserve"> grants. A</w:t>
      </w:r>
      <w:r w:rsidR="00FF3A5A" w:rsidRPr="00CE0F04">
        <w:rPr>
          <w:sz w:val="24"/>
          <w:szCs w:val="24"/>
        </w:rPr>
        <w:t xml:space="preserve">s an example, if the preemption periodicity matches that of URLLC control monitoring </w:t>
      </w:r>
      <w:r w:rsidR="00FF3A5A" w:rsidRPr="00CE0F04">
        <w:rPr>
          <w:sz w:val="24"/>
          <w:szCs w:val="24"/>
        </w:rPr>
        <w:lastRenderedPageBreak/>
        <w:t>periodicity, then the detection of preemption indication provide</w:t>
      </w:r>
      <w:r w:rsidR="002872E8">
        <w:rPr>
          <w:sz w:val="24"/>
          <w:szCs w:val="24"/>
        </w:rPr>
        <w:t>s</w:t>
      </w:r>
      <w:r w:rsidR="00FF3A5A">
        <w:rPr>
          <w:sz w:val="24"/>
          <w:szCs w:val="24"/>
        </w:rPr>
        <w:t xml:space="preserve"> additional assurance that there may be</w:t>
      </w:r>
      <w:r w:rsidR="00497D6A">
        <w:rPr>
          <w:sz w:val="24"/>
          <w:szCs w:val="24"/>
        </w:rPr>
        <w:t xml:space="preserve"> a DL</w:t>
      </w:r>
      <w:r w:rsidR="00FF3A5A">
        <w:rPr>
          <w:sz w:val="24"/>
          <w:szCs w:val="24"/>
        </w:rPr>
        <w:t xml:space="preserve"> grant destined </w:t>
      </w:r>
      <w:r w:rsidR="00405878">
        <w:rPr>
          <w:sz w:val="24"/>
          <w:szCs w:val="24"/>
        </w:rPr>
        <w:t xml:space="preserve">for </w:t>
      </w:r>
      <w:r w:rsidR="00FF3A5A">
        <w:rPr>
          <w:sz w:val="24"/>
          <w:szCs w:val="24"/>
        </w:rPr>
        <w:t>URLLC UE</w:t>
      </w:r>
      <w:r w:rsidR="00405878">
        <w:rPr>
          <w:sz w:val="24"/>
          <w:szCs w:val="24"/>
        </w:rPr>
        <w:t>s</w:t>
      </w:r>
      <w:r w:rsidR="00FF3A5A">
        <w:rPr>
          <w:sz w:val="24"/>
          <w:szCs w:val="24"/>
        </w:rPr>
        <w:t>.</w:t>
      </w:r>
    </w:p>
    <w:p w14:paraId="53B751F6" w14:textId="47A0696E" w:rsidR="004A7EAF" w:rsidRPr="00797F31" w:rsidRDefault="00397B87" w:rsidP="005C4ADF">
      <w:pPr>
        <w:tabs>
          <w:tab w:val="num" w:pos="2160"/>
          <w:tab w:val="num" w:pos="2880"/>
        </w:tabs>
        <w:jc w:val="both"/>
        <w:rPr>
          <w:b/>
          <w:sz w:val="24"/>
          <w:szCs w:val="24"/>
        </w:rPr>
      </w:pPr>
      <w:r w:rsidRPr="00797F31">
        <w:rPr>
          <w:b/>
          <w:sz w:val="24"/>
          <w:szCs w:val="24"/>
        </w:rPr>
        <w:t>Observation</w:t>
      </w:r>
      <w:r w:rsidR="00F63BCB">
        <w:rPr>
          <w:b/>
          <w:sz w:val="24"/>
          <w:szCs w:val="24"/>
        </w:rPr>
        <w:t xml:space="preserve"> 1</w:t>
      </w:r>
      <w:r w:rsidRPr="00797F31">
        <w:rPr>
          <w:b/>
          <w:sz w:val="24"/>
          <w:szCs w:val="24"/>
        </w:rPr>
        <w:t xml:space="preserve">: Non-slot-based monitoring of </w:t>
      </w:r>
      <w:r w:rsidR="0010030F" w:rsidRPr="00797F31">
        <w:rPr>
          <w:b/>
          <w:sz w:val="24"/>
          <w:szCs w:val="24"/>
        </w:rPr>
        <w:t xml:space="preserve">DL </w:t>
      </w:r>
      <w:r w:rsidR="00840436" w:rsidRPr="00797F31">
        <w:rPr>
          <w:b/>
          <w:sz w:val="24"/>
          <w:szCs w:val="24"/>
        </w:rPr>
        <w:t xml:space="preserve">preemption indication </w:t>
      </w:r>
      <w:r w:rsidRPr="00797F31">
        <w:rPr>
          <w:b/>
          <w:sz w:val="24"/>
          <w:szCs w:val="24"/>
        </w:rPr>
        <w:t>improves the processing timeline, bu</w:t>
      </w:r>
      <w:r w:rsidR="00840436" w:rsidRPr="00797F31">
        <w:rPr>
          <w:b/>
          <w:sz w:val="24"/>
          <w:szCs w:val="24"/>
        </w:rPr>
        <w:t>ffering requirement, and demodulation performance of eMB</w:t>
      </w:r>
      <w:r w:rsidR="0007020C" w:rsidRPr="00797F31">
        <w:rPr>
          <w:b/>
          <w:sz w:val="24"/>
          <w:szCs w:val="24"/>
        </w:rPr>
        <w:t xml:space="preserve">B UEs, as compared to the slot-based </w:t>
      </w:r>
      <w:r w:rsidR="0007020C" w:rsidRPr="0056740F">
        <w:rPr>
          <w:b/>
          <w:sz w:val="24"/>
          <w:szCs w:val="24"/>
        </w:rPr>
        <w:t>monitoring.</w:t>
      </w:r>
      <w:r w:rsidR="00A254C4" w:rsidRPr="0056740F">
        <w:rPr>
          <w:b/>
          <w:sz w:val="24"/>
          <w:szCs w:val="24"/>
        </w:rPr>
        <w:t xml:space="preserve"> The additional </w:t>
      </w:r>
      <w:r w:rsidR="009B7C44" w:rsidRPr="0056740F">
        <w:rPr>
          <w:b/>
          <w:sz w:val="24"/>
          <w:szCs w:val="24"/>
        </w:rPr>
        <w:t>monitoring</w:t>
      </w:r>
      <w:r w:rsidR="00A254C4" w:rsidRPr="0056740F">
        <w:rPr>
          <w:b/>
          <w:sz w:val="24"/>
          <w:szCs w:val="24"/>
        </w:rPr>
        <w:t xml:space="preserve"> overhead is </w:t>
      </w:r>
      <w:r w:rsidR="00DE7FD3" w:rsidRPr="0056740F">
        <w:rPr>
          <w:b/>
          <w:sz w:val="24"/>
          <w:szCs w:val="24"/>
        </w:rPr>
        <w:t xml:space="preserve">negligible </w:t>
      </w:r>
      <w:r w:rsidR="00A254C4" w:rsidRPr="0056740F">
        <w:rPr>
          <w:b/>
          <w:sz w:val="24"/>
          <w:szCs w:val="24"/>
        </w:rPr>
        <w:t xml:space="preserve">as compared to </w:t>
      </w:r>
      <w:r w:rsidR="00FD36CF" w:rsidRPr="0056740F">
        <w:rPr>
          <w:b/>
          <w:sz w:val="24"/>
          <w:szCs w:val="24"/>
        </w:rPr>
        <w:t xml:space="preserve">the </w:t>
      </w:r>
      <w:r w:rsidR="0075777E">
        <w:rPr>
          <w:b/>
          <w:sz w:val="24"/>
          <w:szCs w:val="24"/>
        </w:rPr>
        <w:t xml:space="preserve">processing </w:t>
      </w:r>
      <w:r w:rsidR="00964594">
        <w:rPr>
          <w:b/>
          <w:sz w:val="24"/>
          <w:szCs w:val="24"/>
        </w:rPr>
        <w:t xml:space="preserve">of </w:t>
      </w:r>
      <w:r w:rsidR="00FD36CF" w:rsidRPr="0056740F">
        <w:rPr>
          <w:b/>
          <w:sz w:val="24"/>
          <w:szCs w:val="24"/>
        </w:rPr>
        <w:t xml:space="preserve">ongoing </w:t>
      </w:r>
      <w:r w:rsidR="00A254C4" w:rsidRPr="0056740F">
        <w:rPr>
          <w:b/>
          <w:sz w:val="24"/>
          <w:szCs w:val="24"/>
        </w:rPr>
        <w:t>eMBB PDSCH transmissions</w:t>
      </w:r>
      <w:r w:rsidR="00DE7FD3" w:rsidRPr="0056740F">
        <w:rPr>
          <w:b/>
          <w:sz w:val="24"/>
          <w:szCs w:val="24"/>
        </w:rPr>
        <w:t xml:space="preserve"> (especially considering the benefits of processing timeline, </w:t>
      </w:r>
      <w:r w:rsidR="00B34C10">
        <w:rPr>
          <w:b/>
          <w:sz w:val="24"/>
          <w:szCs w:val="24"/>
        </w:rPr>
        <w:t xml:space="preserve">less than 1-slot based </w:t>
      </w:r>
      <w:r w:rsidR="00DE7FD3" w:rsidRPr="0056740F">
        <w:rPr>
          <w:b/>
          <w:sz w:val="24"/>
          <w:szCs w:val="24"/>
        </w:rPr>
        <w:t>PI can have a net gain in terms of UE processing power)</w:t>
      </w:r>
      <w:r w:rsidR="001717CC" w:rsidRPr="0056740F">
        <w:rPr>
          <w:b/>
          <w:sz w:val="24"/>
          <w:szCs w:val="24"/>
        </w:rPr>
        <w:t>.</w:t>
      </w:r>
    </w:p>
    <w:bookmarkEnd w:id="7"/>
    <w:p w14:paraId="6780E86A" w14:textId="5C69BE94" w:rsidR="004A21BF" w:rsidRPr="00055FC9" w:rsidRDefault="004A21BF" w:rsidP="004A21BF">
      <w:pPr>
        <w:jc w:val="both"/>
        <w:rPr>
          <w:b/>
          <w:sz w:val="24"/>
        </w:rPr>
      </w:pPr>
      <w:r w:rsidRPr="00055FC9">
        <w:rPr>
          <w:b/>
          <w:sz w:val="24"/>
          <w:szCs w:val="24"/>
        </w:rPr>
        <w:t xml:space="preserve">Proposal 1: The minimum periodicity for </w:t>
      </w:r>
      <w:r w:rsidR="00546D13">
        <w:rPr>
          <w:b/>
          <w:sz w:val="24"/>
          <w:szCs w:val="24"/>
        </w:rPr>
        <w:t xml:space="preserve">an eMBB </w:t>
      </w:r>
      <w:r w:rsidRPr="00055FC9">
        <w:rPr>
          <w:b/>
          <w:sz w:val="24"/>
          <w:szCs w:val="24"/>
        </w:rPr>
        <w:t xml:space="preserve">UE to monitor group common DCI for DL preemption indication should be </w:t>
      </w:r>
      <w:r w:rsidR="00E30ABF">
        <w:rPr>
          <w:b/>
          <w:sz w:val="24"/>
          <w:szCs w:val="24"/>
        </w:rPr>
        <w:t xml:space="preserve">less than one slot, e.g., </w:t>
      </w:r>
      <w:r w:rsidRPr="00055FC9">
        <w:rPr>
          <w:b/>
          <w:sz w:val="24"/>
          <w:szCs w:val="24"/>
        </w:rPr>
        <w:t>every mini-slot or a few mini-slots.</w:t>
      </w:r>
    </w:p>
    <w:p w14:paraId="6AA66F2C" w14:textId="77777777" w:rsidR="00580293" w:rsidRPr="00580293" w:rsidRDefault="00580293" w:rsidP="00580293">
      <w:pPr>
        <w:rPr>
          <w:lang w:val="en-GB"/>
        </w:rPr>
      </w:pPr>
    </w:p>
    <w:p w14:paraId="4C2DDBEA" w14:textId="77777777" w:rsidR="008D02D9" w:rsidRPr="0007631D" w:rsidRDefault="008D02D9" w:rsidP="008D02D9">
      <w:pPr>
        <w:pStyle w:val="Heading1"/>
        <w:rPr>
          <w:rFonts w:ascii="Times New Roman" w:hAnsi="Times New Roman"/>
          <w:lang w:eastAsia="ko-KR"/>
        </w:rPr>
      </w:pPr>
      <w:r w:rsidRPr="0007631D">
        <w:rPr>
          <w:rFonts w:ascii="Times New Roman" w:hAnsi="Times New Roman"/>
          <w:lang w:eastAsia="ko-KR"/>
        </w:rPr>
        <w:t>Dynamic multiplexing between eMBB and URLLC on the uplink</w:t>
      </w:r>
    </w:p>
    <w:p w14:paraId="165A7B0C" w14:textId="1E6AD701" w:rsidR="008D02D9" w:rsidRPr="0007631D" w:rsidRDefault="008D02D9" w:rsidP="008D02D9">
      <w:pPr>
        <w:rPr>
          <w:sz w:val="24"/>
          <w:szCs w:val="24"/>
          <w:lang w:val="en-GB" w:eastAsia="ko-KR"/>
        </w:rPr>
      </w:pPr>
      <w:r w:rsidRPr="0007631D">
        <w:rPr>
          <w:sz w:val="24"/>
          <w:szCs w:val="24"/>
          <w:lang w:val="en-GB" w:eastAsia="ko-KR"/>
        </w:rPr>
        <w:t xml:space="preserve">It was agreed that dynamic multiplexing between eMBB and URLLC is supported on the downlink as shown in Section 1. For uplink URLLC and eMBB transmissions, it is important to manage inter-cell interference via power control at the UEs. In the interference-limited regime, UEs can target a lower received data SINR at the gNB and/or apply proper path-loss compensation to reduce IoT in neighboring cells. It means that achieving high system reliability for URLLC requires more frequency-domain resources to be allocated to an UL transmission instead of simply boosting power on narrowband allocation resource. As a result, wideband resource may need to become available for URLLC UL transmission as well in order to achieve high reliability with low latency. Dynamic multiplexing between eMBB and URLLC is suitable to achieve large bandwidth pre-emption </w:t>
      </w:r>
      <w:r w:rsidR="00AE1EB0">
        <w:rPr>
          <w:sz w:val="24"/>
          <w:szCs w:val="24"/>
          <w:lang w:val="en-GB" w:eastAsia="ko-KR"/>
        </w:rPr>
        <w:t>so as</w:t>
      </w:r>
      <w:r w:rsidR="00D91B8D">
        <w:rPr>
          <w:sz w:val="24"/>
          <w:szCs w:val="24"/>
          <w:lang w:val="en-GB" w:eastAsia="ko-KR"/>
        </w:rPr>
        <w:t xml:space="preserve"> to achieve </w:t>
      </w:r>
      <w:r w:rsidRPr="0007631D">
        <w:rPr>
          <w:sz w:val="24"/>
          <w:szCs w:val="24"/>
          <w:lang w:val="en-GB" w:eastAsia="ko-KR"/>
        </w:rPr>
        <w:t xml:space="preserve">high </w:t>
      </w:r>
      <w:r w:rsidR="00DB28D9">
        <w:rPr>
          <w:sz w:val="24"/>
          <w:szCs w:val="24"/>
          <w:lang w:val="en-GB" w:eastAsia="ko-KR"/>
        </w:rPr>
        <w:t xml:space="preserve">overall </w:t>
      </w:r>
      <w:r w:rsidRPr="0007631D">
        <w:rPr>
          <w:sz w:val="24"/>
          <w:szCs w:val="24"/>
          <w:lang w:val="en-GB" w:eastAsia="ko-KR"/>
        </w:rPr>
        <w:t>system resource utilization. In contrast, if uplink resources are statically or semi-statically reserved for URLLC, either the overall system utilization is very low (reserving too much bandwidth to URLLC) or the URLLC capacity is significantly reduced (reserving too little bandwidth to URLLC) as shown similarly in the downlink study [1]. See [5] for the system-level simulation results that support the need of dynamic multiplexing between URLLC and eMBB transmissions on the uplink.</w:t>
      </w:r>
    </w:p>
    <w:p w14:paraId="282F4970" w14:textId="57980BEE" w:rsidR="008D02D9" w:rsidRPr="0007631D" w:rsidRDefault="00560096" w:rsidP="008D02D9">
      <w:pPr>
        <w:rPr>
          <w:b/>
          <w:sz w:val="24"/>
          <w:szCs w:val="24"/>
        </w:rPr>
      </w:pPr>
      <w:r w:rsidRPr="0007631D">
        <w:rPr>
          <w:b/>
          <w:sz w:val="24"/>
          <w:szCs w:val="24"/>
          <w:lang w:val="en-GB" w:eastAsia="ko-KR"/>
        </w:rPr>
        <w:t xml:space="preserve">Proposal </w:t>
      </w:r>
      <w:r w:rsidR="00676FAE" w:rsidRPr="0007631D">
        <w:rPr>
          <w:b/>
          <w:sz w:val="24"/>
          <w:szCs w:val="24"/>
          <w:lang w:val="en-GB" w:eastAsia="ko-KR"/>
        </w:rPr>
        <w:t>2</w:t>
      </w:r>
      <w:r w:rsidR="008D02D9" w:rsidRPr="0007631D">
        <w:rPr>
          <w:sz w:val="24"/>
          <w:szCs w:val="24"/>
          <w:lang w:val="en-GB" w:eastAsia="ko-KR"/>
        </w:rPr>
        <w:t xml:space="preserve">: </w:t>
      </w:r>
      <w:r w:rsidR="008D02D9" w:rsidRPr="0007631D">
        <w:rPr>
          <w:b/>
          <w:sz w:val="24"/>
          <w:szCs w:val="24"/>
        </w:rPr>
        <w:t>Dynamic multiplexing between eMBB and URLLC should be considered in NR uplink.</w:t>
      </w:r>
    </w:p>
    <w:p w14:paraId="6CBADD21" w14:textId="77777777" w:rsidR="008D02D9" w:rsidRPr="0007631D" w:rsidRDefault="008D02D9" w:rsidP="008D02D9">
      <w:pPr>
        <w:pStyle w:val="Heading1"/>
        <w:rPr>
          <w:rFonts w:ascii="Times New Roman" w:hAnsi="Times New Roman"/>
          <w:lang w:eastAsia="ko-KR"/>
        </w:rPr>
      </w:pPr>
      <w:r w:rsidRPr="0007631D">
        <w:rPr>
          <w:rFonts w:ascii="Times New Roman" w:hAnsi="Times New Roman"/>
          <w:lang w:eastAsia="ko-KR"/>
        </w:rPr>
        <w:t>Indication channel for suspending eMBB traffic in the dynamic multiplexing of eMBB and URLLC on the uplink</w:t>
      </w:r>
    </w:p>
    <w:p w14:paraId="57C22037" w14:textId="65B3A517" w:rsidR="008D02D9" w:rsidRPr="0007631D" w:rsidRDefault="009D4523" w:rsidP="008D02D9">
      <w:pPr>
        <w:pStyle w:val="Heading2"/>
        <w:rPr>
          <w:rFonts w:ascii="Times New Roman" w:hAnsi="Times New Roman"/>
          <w:lang w:eastAsia="ko-KR"/>
        </w:rPr>
      </w:pPr>
      <w:r w:rsidRPr="0007631D">
        <w:rPr>
          <w:rFonts w:ascii="Times New Roman" w:hAnsi="Times New Roman"/>
          <w:lang w:eastAsia="ko-KR"/>
        </w:rPr>
        <w:t>Design motivation</w:t>
      </w:r>
    </w:p>
    <w:p w14:paraId="4D5AC71B" w14:textId="669675FA" w:rsidR="008D02D9" w:rsidRPr="0007631D" w:rsidRDefault="008D02D9" w:rsidP="008D02D9">
      <w:pPr>
        <w:rPr>
          <w:sz w:val="24"/>
          <w:lang w:val="en-GB" w:eastAsia="ko-KR"/>
        </w:rPr>
      </w:pPr>
      <w:r w:rsidRPr="0007631D">
        <w:rPr>
          <w:sz w:val="24"/>
          <w:lang w:val="en-GB" w:eastAsia="ko-KR"/>
        </w:rPr>
        <w:t>In the context of the eMBB and URLLC multiplexing on the uplink, eMBB transmissions are scheduled in slots and URLLC transmissions in mini-slots. Consider the scenario that there is an ongoing eMBB UL burst when a URLLC UE initiates a grant-free UL transmission in the same cell. eMBB UE may comple</w:t>
      </w:r>
      <w:r w:rsidR="00A55D75">
        <w:rPr>
          <w:sz w:val="24"/>
          <w:lang w:val="en-GB" w:eastAsia="ko-KR"/>
        </w:rPr>
        <w:t>tely jam URLLC transmissions,</w:t>
      </w:r>
      <w:r w:rsidRPr="0007631D">
        <w:rPr>
          <w:sz w:val="24"/>
          <w:lang w:val="en-GB" w:eastAsia="ko-KR"/>
        </w:rPr>
        <w:t xml:space="preserve"> reducing overall system capacity of URLLC service. In contrast, grant-based </w:t>
      </w:r>
      <w:r w:rsidR="008964FD" w:rsidRPr="0007631D">
        <w:rPr>
          <w:sz w:val="24"/>
          <w:lang w:val="en-GB" w:eastAsia="ko-KR"/>
        </w:rPr>
        <w:t xml:space="preserve">transmission/retransmission </w:t>
      </w:r>
      <w:r w:rsidRPr="0007631D">
        <w:rPr>
          <w:sz w:val="24"/>
          <w:lang w:val="en-GB" w:eastAsia="ko-KR"/>
        </w:rPr>
        <w:t>schemes may allow the gNB to suspend ongoing eMBB transmissions, e.g., via indication channels (similar to those agreed for DL URLLC pre-emption indication) [3], in the time-frequency resources scheduled to URLLC UEs in the UL grants. As a result, system reliability and hence the URLLC capacity can be improved.</w:t>
      </w:r>
    </w:p>
    <w:p w14:paraId="2E952A94" w14:textId="77777777" w:rsidR="008D02D9" w:rsidRPr="0007631D" w:rsidRDefault="008D02D9" w:rsidP="008D02D9">
      <w:pPr>
        <w:rPr>
          <w:sz w:val="24"/>
          <w:szCs w:val="24"/>
          <w:lang w:val="en-GB" w:eastAsia="ko-KR"/>
        </w:rPr>
      </w:pPr>
      <w:r w:rsidRPr="0007631D">
        <w:rPr>
          <w:sz w:val="24"/>
          <w:lang w:val="en-GB" w:eastAsia="ko-KR"/>
        </w:rPr>
        <w:lastRenderedPageBreak/>
        <w:t xml:space="preserve">Next, we provide system-level simulation (SLS) results to evaluate the impact of intra/inter-cell interference from eMBB to URLLC transmissions on the uplink. The SLS assumptions and the details of the simulation setting are provided in [5]. We consider one URLLC serving cell with 22 UEs, surrounded by 20 eMBB cells. The intra/inter-cell eMBB-to-URLLC interference is modelled </w:t>
      </w:r>
      <w:r w:rsidRPr="0007631D">
        <w:rPr>
          <w:sz w:val="24"/>
          <w:szCs w:val="24"/>
          <w:lang w:val="en-GB" w:eastAsia="ko-KR"/>
        </w:rPr>
        <w:t>by raising the noise floor in every mini-slot by a representative RoT value, for the sake of speeding up the simulations. The RoT value is computed from a separate UL full-buffer eMBB SLS with the same network layout and real inter-cell interference. In particular, different settings of open-loop power control are simulated in the UL eMBB SLS to find the best one that balances the median and tail spectral efficiency among all eMBB UEs; the corresponding RoT, which is 15.8dB, is then used to raise the noise floor in the UL URLLC serving cell.</w:t>
      </w:r>
    </w:p>
    <w:p w14:paraId="2B8F4C74" w14:textId="77777777" w:rsidR="008D02D9" w:rsidRPr="0007631D" w:rsidRDefault="008D02D9" w:rsidP="008D02D9">
      <w:pPr>
        <w:rPr>
          <w:sz w:val="24"/>
          <w:szCs w:val="24"/>
          <w:lang w:val="en-GB" w:eastAsia="ko-KR"/>
        </w:rPr>
      </w:pPr>
      <w:r w:rsidRPr="0007631D">
        <w:rPr>
          <w:sz w:val="24"/>
          <w:szCs w:val="24"/>
          <w:lang w:val="en-GB" w:eastAsia="ko-KR"/>
        </w:rPr>
        <w:t xml:space="preserve">Table 1 shows the system capacity and spectral efficiency of UL URLLC subject to both intra- and inter-cell interference from eMBB under 1ms delay requirement, 1e-5 reliability, and different reserved bandwidth for UL URLLC. Table 2 shows the URLLC capacity and spectral efficiency </w:t>
      </w:r>
      <w:r w:rsidRPr="0007631D">
        <w:rPr>
          <w:i/>
          <w:sz w:val="24"/>
          <w:szCs w:val="24"/>
          <w:lang w:val="en-GB" w:eastAsia="ko-KR"/>
        </w:rPr>
        <w:t>when intra-cell eMBB-to-URLLC interference is removed</w:t>
      </w:r>
      <w:r w:rsidRPr="0007631D">
        <w:rPr>
          <w:sz w:val="24"/>
          <w:szCs w:val="24"/>
          <w:lang w:val="en-GB" w:eastAsia="ko-KR"/>
        </w:rPr>
        <w:t xml:space="preserve"> (see [5] for more details). Comparing these two tables, we observe that the intra-cell eMBB traffic, if not monitoring the ongoing URLLC transmissions, can cause significant degradation in the UL URLLC capacity.</w:t>
      </w:r>
    </w:p>
    <w:tbl>
      <w:tblPr>
        <w:tblStyle w:val="TableGrid"/>
        <w:tblW w:w="0" w:type="auto"/>
        <w:jc w:val="center"/>
        <w:tblLook w:val="04A0" w:firstRow="1" w:lastRow="0" w:firstColumn="1" w:lastColumn="0" w:noHBand="0" w:noVBand="1"/>
      </w:tblPr>
      <w:tblGrid>
        <w:gridCol w:w="2129"/>
        <w:gridCol w:w="1762"/>
        <w:gridCol w:w="1982"/>
      </w:tblGrid>
      <w:tr w:rsidR="008D02D9" w:rsidRPr="0007631D" w14:paraId="5BACBB43" w14:textId="77777777" w:rsidTr="009503E5">
        <w:trPr>
          <w:jc w:val="center"/>
        </w:trPr>
        <w:tc>
          <w:tcPr>
            <w:tcW w:w="2129" w:type="dxa"/>
          </w:tcPr>
          <w:p w14:paraId="3374CC11" w14:textId="77777777" w:rsidR="008D02D9" w:rsidRPr="0007631D" w:rsidRDefault="008D02D9" w:rsidP="009503E5">
            <w:pPr>
              <w:rPr>
                <w:sz w:val="22"/>
                <w:lang w:val="en-GB" w:eastAsia="ko-KR"/>
              </w:rPr>
            </w:pPr>
            <w:r w:rsidRPr="0007631D">
              <w:rPr>
                <w:sz w:val="22"/>
                <w:lang w:val="en-GB" w:eastAsia="ko-KR"/>
              </w:rPr>
              <w:t>Reserved bandwidth</w:t>
            </w:r>
          </w:p>
        </w:tc>
        <w:tc>
          <w:tcPr>
            <w:tcW w:w="1762" w:type="dxa"/>
          </w:tcPr>
          <w:p w14:paraId="22C57E6C" w14:textId="77777777" w:rsidR="008D02D9" w:rsidRPr="0007631D" w:rsidRDefault="008D02D9" w:rsidP="009503E5">
            <w:pPr>
              <w:rPr>
                <w:sz w:val="22"/>
                <w:lang w:val="en-GB" w:eastAsia="ko-KR"/>
              </w:rPr>
            </w:pPr>
            <w:r w:rsidRPr="0007631D">
              <w:rPr>
                <w:sz w:val="22"/>
                <w:lang w:val="en-GB" w:eastAsia="ko-KR"/>
              </w:rPr>
              <w:t>System capacity</w:t>
            </w:r>
          </w:p>
        </w:tc>
        <w:tc>
          <w:tcPr>
            <w:tcW w:w="1982" w:type="dxa"/>
          </w:tcPr>
          <w:p w14:paraId="0D8FAB56" w14:textId="77777777" w:rsidR="008D02D9" w:rsidRPr="0007631D" w:rsidRDefault="008D02D9" w:rsidP="009503E5">
            <w:pPr>
              <w:rPr>
                <w:sz w:val="22"/>
                <w:lang w:val="en-GB" w:eastAsia="ko-KR"/>
              </w:rPr>
            </w:pPr>
            <w:r w:rsidRPr="0007631D">
              <w:rPr>
                <w:sz w:val="22"/>
                <w:lang w:val="en-GB" w:eastAsia="ko-KR"/>
              </w:rPr>
              <w:t>Spectral efficiency</w:t>
            </w:r>
          </w:p>
        </w:tc>
      </w:tr>
      <w:tr w:rsidR="008D02D9" w:rsidRPr="0007631D" w14:paraId="32EFF339" w14:textId="77777777" w:rsidTr="009503E5">
        <w:trPr>
          <w:jc w:val="center"/>
        </w:trPr>
        <w:tc>
          <w:tcPr>
            <w:tcW w:w="2129" w:type="dxa"/>
          </w:tcPr>
          <w:p w14:paraId="0C98DBF3" w14:textId="77777777" w:rsidR="008D02D9" w:rsidRPr="0007631D" w:rsidRDefault="008D02D9" w:rsidP="009503E5">
            <w:pPr>
              <w:rPr>
                <w:sz w:val="22"/>
                <w:lang w:val="en-GB" w:eastAsia="ko-KR"/>
              </w:rPr>
            </w:pPr>
            <w:r w:rsidRPr="0007631D">
              <w:rPr>
                <w:sz w:val="22"/>
                <w:lang w:val="en-GB" w:eastAsia="ko-KR"/>
              </w:rPr>
              <w:t>5 MHz</w:t>
            </w:r>
          </w:p>
        </w:tc>
        <w:tc>
          <w:tcPr>
            <w:tcW w:w="1762" w:type="dxa"/>
          </w:tcPr>
          <w:p w14:paraId="5F3AAE40" w14:textId="3A93D099" w:rsidR="008D02D9" w:rsidRPr="0007631D" w:rsidRDefault="00D3568C" w:rsidP="009503E5">
            <w:pPr>
              <w:rPr>
                <w:sz w:val="22"/>
                <w:lang w:val="en-GB" w:eastAsia="ko-KR"/>
              </w:rPr>
            </w:pPr>
            <w:r>
              <w:rPr>
                <w:sz w:val="22"/>
                <w:lang w:val="en-GB" w:eastAsia="ko-KR"/>
              </w:rPr>
              <w:t>negligible</w:t>
            </w:r>
          </w:p>
        </w:tc>
        <w:tc>
          <w:tcPr>
            <w:tcW w:w="1982" w:type="dxa"/>
          </w:tcPr>
          <w:p w14:paraId="693BB732" w14:textId="77777777" w:rsidR="008D02D9" w:rsidRPr="0007631D" w:rsidRDefault="008D02D9" w:rsidP="009503E5">
            <w:pPr>
              <w:rPr>
                <w:sz w:val="22"/>
                <w:lang w:val="en-GB" w:eastAsia="ko-KR"/>
              </w:rPr>
            </w:pPr>
            <w:r w:rsidRPr="0007631D">
              <w:rPr>
                <w:sz w:val="22"/>
                <w:lang w:val="en-GB" w:eastAsia="ko-KR"/>
              </w:rPr>
              <w:t>N/A</w:t>
            </w:r>
          </w:p>
        </w:tc>
      </w:tr>
      <w:tr w:rsidR="008D02D9" w:rsidRPr="0007631D" w14:paraId="4ECEBA2F" w14:textId="77777777" w:rsidTr="009503E5">
        <w:trPr>
          <w:jc w:val="center"/>
        </w:trPr>
        <w:tc>
          <w:tcPr>
            <w:tcW w:w="2129" w:type="dxa"/>
          </w:tcPr>
          <w:p w14:paraId="3A52A76D" w14:textId="77777777" w:rsidR="008D02D9" w:rsidRPr="0007631D" w:rsidRDefault="008D02D9" w:rsidP="009503E5">
            <w:pPr>
              <w:rPr>
                <w:sz w:val="22"/>
                <w:lang w:val="en-GB" w:eastAsia="ko-KR"/>
              </w:rPr>
            </w:pPr>
            <w:r w:rsidRPr="0007631D">
              <w:rPr>
                <w:sz w:val="22"/>
                <w:lang w:val="en-GB" w:eastAsia="ko-KR"/>
              </w:rPr>
              <w:t>10 MHz</w:t>
            </w:r>
          </w:p>
        </w:tc>
        <w:tc>
          <w:tcPr>
            <w:tcW w:w="1762" w:type="dxa"/>
          </w:tcPr>
          <w:p w14:paraId="0FEDD2A6" w14:textId="77777777" w:rsidR="008D02D9" w:rsidRPr="0007631D" w:rsidRDefault="008D02D9" w:rsidP="009503E5">
            <w:pPr>
              <w:rPr>
                <w:sz w:val="22"/>
                <w:lang w:val="en-GB" w:eastAsia="ko-KR"/>
              </w:rPr>
            </w:pPr>
            <w:r w:rsidRPr="0007631D">
              <w:rPr>
                <w:sz w:val="22"/>
                <w:lang w:val="en-GB" w:eastAsia="ko-KR"/>
              </w:rPr>
              <w:t>0.451 Mbps</w:t>
            </w:r>
          </w:p>
        </w:tc>
        <w:tc>
          <w:tcPr>
            <w:tcW w:w="1982" w:type="dxa"/>
          </w:tcPr>
          <w:p w14:paraId="31B6D9CF" w14:textId="77777777" w:rsidR="008D02D9" w:rsidRPr="0007631D" w:rsidRDefault="008D02D9" w:rsidP="009503E5">
            <w:pPr>
              <w:rPr>
                <w:sz w:val="22"/>
                <w:lang w:val="en-GB" w:eastAsia="ko-KR"/>
              </w:rPr>
            </w:pPr>
            <w:r w:rsidRPr="0007631D">
              <w:rPr>
                <w:sz w:val="22"/>
                <w:lang w:val="en-GB" w:eastAsia="ko-KR"/>
              </w:rPr>
              <w:t>0.045 bps/Hz</w:t>
            </w:r>
          </w:p>
        </w:tc>
      </w:tr>
      <w:tr w:rsidR="008D02D9" w:rsidRPr="0007631D" w14:paraId="374D2CFE" w14:textId="77777777" w:rsidTr="009503E5">
        <w:trPr>
          <w:jc w:val="center"/>
        </w:trPr>
        <w:tc>
          <w:tcPr>
            <w:tcW w:w="2129" w:type="dxa"/>
          </w:tcPr>
          <w:p w14:paraId="6BC96AB3" w14:textId="77777777" w:rsidR="008D02D9" w:rsidRPr="0007631D" w:rsidRDefault="008D02D9" w:rsidP="009503E5">
            <w:pPr>
              <w:rPr>
                <w:sz w:val="22"/>
                <w:lang w:val="en-GB" w:eastAsia="ko-KR"/>
              </w:rPr>
            </w:pPr>
            <w:r w:rsidRPr="0007631D">
              <w:rPr>
                <w:sz w:val="22"/>
                <w:lang w:val="en-GB" w:eastAsia="ko-KR"/>
              </w:rPr>
              <w:t>20 MHz</w:t>
            </w:r>
          </w:p>
        </w:tc>
        <w:tc>
          <w:tcPr>
            <w:tcW w:w="1762" w:type="dxa"/>
          </w:tcPr>
          <w:p w14:paraId="290F35C3" w14:textId="77777777" w:rsidR="008D02D9" w:rsidRPr="0007631D" w:rsidRDefault="008D02D9" w:rsidP="009503E5">
            <w:pPr>
              <w:rPr>
                <w:sz w:val="22"/>
                <w:lang w:val="en-GB" w:eastAsia="ko-KR"/>
              </w:rPr>
            </w:pPr>
            <w:r w:rsidRPr="0007631D">
              <w:rPr>
                <w:sz w:val="22"/>
                <w:lang w:val="en-GB" w:eastAsia="ko-KR"/>
              </w:rPr>
              <w:t>4.51 Mbps</w:t>
            </w:r>
          </w:p>
        </w:tc>
        <w:tc>
          <w:tcPr>
            <w:tcW w:w="1982" w:type="dxa"/>
          </w:tcPr>
          <w:p w14:paraId="478E407F" w14:textId="77777777" w:rsidR="008D02D9" w:rsidRPr="0007631D" w:rsidRDefault="008D02D9" w:rsidP="009503E5">
            <w:pPr>
              <w:rPr>
                <w:sz w:val="22"/>
                <w:lang w:val="en-GB" w:eastAsia="ko-KR"/>
              </w:rPr>
            </w:pPr>
            <w:r w:rsidRPr="0007631D">
              <w:rPr>
                <w:sz w:val="22"/>
                <w:lang w:val="en-GB" w:eastAsia="ko-KR"/>
              </w:rPr>
              <w:t>0.23 bps/Hz</w:t>
            </w:r>
          </w:p>
        </w:tc>
      </w:tr>
    </w:tbl>
    <w:p w14:paraId="26C3D27C" w14:textId="77777777" w:rsidR="008D02D9" w:rsidRPr="0007631D" w:rsidRDefault="008D02D9" w:rsidP="008D02D9">
      <w:pPr>
        <w:pStyle w:val="Caption"/>
        <w:jc w:val="center"/>
        <w:rPr>
          <w:lang w:val="en-GB" w:eastAsia="ko-KR"/>
        </w:rPr>
      </w:pPr>
      <w:r w:rsidRPr="0007631D">
        <w:rPr>
          <w:lang w:val="en-GB" w:eastAsia="ko-KR"/>
        </w:rPr>
        <w:t>Table 1. System capacity and spectral efficiency of UL URLLC subject to both intra- and inter-cell interference from eMBB with full-buffer traffic.</w:t>
      </w:r>
    </w:p>
    <w:tbl>
      <w:tblPr>
        <w:tblStyle w:val="TableGrid"/>
        <w:tblW w:w="0" w:type="auto"/>
        <w:jc w:val="center"/>
        <w:tblLook w:val="04A0" w:firstRow="1" w:lastRow="0" w:firstColumn="1" w:lastColumn="0" w:noHBand="0" w:noVBand="1"/>
      </w:tblPr>
      <w:tblGrid>
        <w:gridCol w:w="2303"/>
        <w:gridCol w:w="1903"/>
        <w:gridCol w:w="2142"/>
      </w:tblGrid>
      <w:tr w:rsidR="008D02D9" w:rsidRPr="0007631D" w14:paraId="595C6CB2" w14:textId="77777777" w:rsidTr="009503E5">
        <w:trPr>
          <w:jc w:val="center"/>
        </w:trPr>
        <w:tc>
          <w:tcPr>
            <w:tcW w:w="2303" w:type="dxa"/>
          </w:tcPr>
          <w:p w14:paraId="416E9A17" w14:textId="77777777" w:rsidR="008D02D9" w:rsidRPr="0007631D" w:rsidRDefault="008D02D9" w:rsidP="009503E5">
            <w:pPr>
              <w:rPr>
                <w:sz w:val="24"/>
                <w:lang w:val="en-GB" w:eastAsia="ko-KR"/>
              </w:rPr>
            </w:pPr>
            <w:r w:rsidRPr="0007631D">
              <w:rPr>
                <w:sz w:val="24"/>
                <w:lang w:val="en-GB" w:eastAsia="ko-KR"/>
              </w:rPr>
              <w:t>Reserved bandwidth</w:t>
            </w:r>
          </w:p>
        </w:tc>
        <w:tc>
          <w:tcPr>
            <w:tcW w:w="1903" w:type="dxa"/>
          </w:tcPr>
          <w:p w14:paraId="4B1A434A" w14:textId="77777777" w:rsidR="008D02D9" w:rsidRPr="0007631D" w:rsidRDefault="008D02D9" w:rsidP="009503E5">
            <w:pPr>
              <w:rPr>
                <w:sz w:val="24"/>
                <w:lang w:val="en-GB" w:eastAsia="ko-KR"/>
              </w:rPr>
            </w:pPr>
            <w:r w:rsidRPr="0007631D">
              <w:rPr>
                <w:sz w:val="24"/>
                <w:lang w:val="en-GB" w:eastAsia="ko-KR"/>
              </w:rPr>
              <w:t>System capacity</w:t>
            </w:r>
          </w:p>
        </w:tc>
        <w:tc>
          <w:tcPr>
            <w:tcW w:w="2142" w:type="dxa"/>
          </w:tcPr>
          <w:p w14:paraId="49944D0B" w14:textId="77777777" w:rsidR="008D02D9" w:rsidRPr="0007631D" w:rsidRDefault="008D02D9" w:rsidP="009503E5">
            <w:pPr>
              <w:rPr>
                <w:sz w:val="24"/>
                <w:lang w:val="en-GB" w:eastAsia="ko-KR"/>
              </w:rPr>
            </w:pPr>
            <w:r w:rsidRPr="0007631D">
              <w:rPr>
                <w:sz w:val="24"/>
                <w:lang w:val="en-GB" w:eastAsia="ko-KR"/>
              </w:rPr>
              <w:t>Spectral efficiency</w:t>
            </w:r>
          </w:p>
        </w:tc>
      </w:tr>
      <w:tr w:rsidR="008D02D9" w:rsidRPr="0007631D" w14:paraId="2D68C5A2" w14:textId="77777777" w:rsidTr="009503E5">
        <w:trPr>
          <w:jc w:val="center"/>
        </w:trPr>
        <w:tc>
          <w:tcPr>
            <w:tcW w:w="2303" w:type="dxa"/>
          </w:tcPr>
          <w:p w14:paraId="49C2D05D" w14:textId="77777777" w:rsidR="008D02D9" w:rsidRPr="0007631D" w:rsidRDefault="008D02D9" w:rsidP="009503E5">
            <w:pPr>
              <w:rPr>
                <w:sz w:val="24"/>
                <w:lang w:val="en-GB" w:eastAsia="ko-KR"/>
              </w:rPr>
            </w:pPr>
            <w:r w:rsidRPr="0007631D">
              <w:rPr>
                <w:sz w:val="24"/>
                <w:lang w:val="en-GB" w:eastAsia="ko-KR"/>
              </w:rPr>
              <w:t>5 MHz</w:t>
            </w:r>
          </w:p>
        </w:tc>
        <w:tc>
          <w:tcPr>
            <w:tcW w:w="1903" w:type="dxa"/>
          </w:tcPr>
          <w:p w14:paraId="51C0689C" w14:textId="77777777" w:rsidR="008D02D9" w:rsidRPr="0007631D" w:rsidRDefault="008D02D9" w:rsidP="009503E5">
            <w:pPr>
              <w:rPr>
                <w:sz w:val="24"/>
                <w:lang w:val="en-GB" w:eastAsia="ko-KR"/>
              </w:rPr>
            </w:pPr>
            <w:r w:rsidRPr="0007631D">
              <w:rPr>
                <w:sz w:val="24"/>
                <w:lang w:val="en-GB" w:eastAsia="ko-KR"/>
              </w:rPr>
              <w:t>4.51 Mbps</w:t>
            </w:r>
          </w:p>
        </w:tc>
        <w:tc>
          <w:tcPr>
            <w:tcW w:w="2142" w:type="dxa"/>
          </w:tcPr>
          <w:p w14:paraId="5D7A06EE" w14:textId="77777777" w:rsidR="008D02D9" w:rsidRPr="0007631D" w:rsidRDefault="008D02D9" w:rsidP="009503E5">
            <w:pPr>
              <w:rPr>
                <w:sz w:val="24"/>
                <w:lang w:val="en-GB" w:eastAsia="ko-KR"/>
              </w:rPr>
            </w:pPr>
            <w:r w:rsidRPr="0007631D">
              <w:rPr>
                <w:sz w:val="24"/>
                <w:lang w:val="en-GB" w:eastAsia="ko-KR"/>
              </w:rPr>
              <w:t>0.9 bps/Hz</w:t>
            </w:r>
          </w:p>
        </w:tc>
      </w:tr>
      <w:tr w:rsidR="008D02D9" w:rsidRPr="0007631D" w14:paraId="28C3E7EA" w14:textId="77777777" w:rsidTr="009503E5">
        <w:trPr>
          <w:jc w:val="center"/>
        </w:trPr>
        <w:tc>
          <w:tcPr>
            <w:tcW w:w="2303" w:type="dxa"/>
          </w:tcPr>
          <w:p w14:paraId="2772A448" w14:textId="77777777" w:rsidR="008D02D9" w:rsidRPr="0007631D" w:rsidRDefault="008D02D9" w:rsidP="009503E5">
            <w:pPr>
              <w:rPr>
                <w:sz w:val="24"/>
                <w:lang w:val="en-GB" w:eastAsia="ko-KR"/>
              </w:rPr>
            </w:pPr>
            <w:r w:rsidRPr="0007631D">
              <w:rPr>
                <w:sz w:val="24"/>
                <w:lang w:val="en-GB" w:eastAsia="ko-KR"/>
              </w:rPr>
              <w:t>10 MHz</w:t>
            </w:r>
          </w:p>
        </w:tc>
        <w:tc>
          <w:tcPr>
            <w:tcW w:w="1903" w:type="dxa"/>
          </w:tcPr>
          <w:p w14:paraId="74151C1E" w14:textId="77777777" w:rsidR="008D02D9" w:rsidRPr="0007631D" w:rsidRDefault="008D02D9" w:rsidP="009503E5">
            <w:pPr>
              <w:rPr>
                <w:sz w:val="24"/>
                <w:lang w:val="en-GB" w:eastAsia="ko-KR"/>
              </w:rPr>
            </w:pPr>
            <w:r w:rsidRPr="0007631D">
              <w:rPr>
                <w:sz w:val="24"/>
                <w:lang w:val="en-GB" w:eastAsia="ko-KR"/>
              </w:rPr>
              <w:t>12.39 Mbps</w:t>
            </w:r>
          </w:p>
        </w:tc>
        <w:tc>
          <w:tcPr>
            <w:tcW w:w="2142" w:type="dxa"/>
          </w:tcPr>
          <w:p w14:paraId="68E4B36A" w14:textId="77777777" w:rsidR="008D02D9" w:rsidRPr="0007631D" w:rsidRDefault="008D02D9" w:rsidP="009503E5">
            <w:pPr>
              <w:rPr>
                <w:sz w:val="24"/>
                <w:lang w:val="en-GB" w:eastAsia="ko-KR"/>
              </w:rPr>
            </w:pPr>
            <w:r w:rsidRPr="0007631D">
              <w:rPr>
                <w:sz w:val="24"/>
                <w:lang w:val="en-GB" w:eastAsia="ko-KR"/>
              </w:rPr>
              <w:t>1.24 bps/Hz</w:t>
            </w:r>
          </w:p>
        </w:tc>
      </w:tr>
      <w:tr w:rsidR="008D02D9" w:rsidRPr="0007631D" w14:paraId="3DFD054D" w14:textId="77777777" w:rsidTr="009503E5">
        <w:trPr>
          <w:jc w:val="center"/>
        </w:trPr>
        <w:tc>
          <w:tcPr>
            <w:tcW w:w="2303" w:type="dxa"/>
          </w:tcPr>
          <w:p w14:paraId="7EA4BFE4" w14:textId="77777777" w:rsidR="008D02D9" w:rsidRPr="0007631D" w:rsidRDefault="008D02D9" w:rsidP="009503E5">
            <w:pPr>
              <w:rPr>
                <w:sz w:val="24"/>
                <w:lang w:val="en-GB" w:eastAsia="ko-KR"/>
              </w:rPr>
            </w:pPr>
            <w:r w:rsidRPr="0007631D">
              <w:rPr>
                <w:sz w:val="24"/>
                <w:lang w:val="en-GB" w:eastAsia="ko-KR"/>
              </w:rPr>
              <w:t>20 MHz</w:t>
            </w:r>
          </w:p>
        </w:tc>
        <w:tc>
          <w:tcPr>
            <w:tcW w:w="1903" w:type="dxa"/>
          </w:tcPr>
          <w:p w14:paraId="11627D66" w14:textId="77777777" w:rsidR="008D02D9" w:rsidRPr="0007631D" w:rsidRDefault="008D02D9" w:rsidP="009503E5">
            <w:pPr>
              <w:rPr>
                <w:sz w:val="24"/>
                <w:lang w:val="en-GB" w:eastAsia="ko-KR"/>
              </w:rPr>
            </w:pPr>
            <w:r w:rsidRPr="0007631D">
              <w:rPr>
                <w:sz w:val="24"/>
                <w:lang w:val="en-GB" w:eastAsia="ko-KR"/>
              </w:rPr>
              <w:t>28.16 Mbps</w:t>
            </w:r>
          </w:p>
        </w:tc>
        <w:tc>
          <w:tcPr>
            <w:tcW w:w="2142" w:type="dxa"/>
          </w:tcPr>
          <w:p w14:paraId="0A71775E" w14:textId="77777777" w:rsidR="008D02D9" w:rsidRPr="0007631D" w:rsidRDefault="008D02D9" w:rsidP="009503E5">
            <w:pPr>
              <w:rPr>
                <w:sz w:val="24"/>
                <w:lang w:val="en-GB" w:eastAsia="ko-KR"/>
              </w:rPr>
            </w:pPr>
            <w:r w:rsidRPr="0007631D">
              <w:rPr>
                <w:sz w:val="24"/>
                <w:lang w:val="en-GB" w:eastAsia="ko-KR"/>
              </w:rPr>
              <w:t>1.41 bps/Hz</w:t>
            </w:r>
          </w:p>
        </w:tc>
      </w:tr>
    </w:tbl>
    <w:p w14:paraId="2EC11EA2" w14:textId="77777777" w:rsidR="008D02D9" w:rsidRPr="0007631D" w:rsidRDefault="008D02D9" w:rsidP="008D02D9">
      <w:pPr>
        <w:pStyle w:val="Caption"/>
        <w:jc w:val="center"/>
        <w:rPr>
          <w:lang w:val="en-GB" w:eastAsia="ko-KR"/>
        </w:rPr>
      </w:pPr>
      <w:r w:rsidRPr="0007631D">
        <w:rPr>
          <w:lang w:val="en-GB" w:eastAsia="ko-KR"/>
        </w:rPr>
        <w:t>Table 2. System capacity and spectral efficiency of UL URLLC subject to inter-cell interference only from eMBB with full-buffer traffic. The only difference from Table 1 is that there is no intra-cell interference from eMBB here.</w:t>
      </w:r>
    </w:p>
    <w:p w14:paraId="41C10784" w14:textId="4585C6F0" w:rsidR="008D02D9" w:rsidRPr="00E04ED2" w:rsidRDefault="008D02D9" w:rsidP="008D02D9">
      <w:pPr>
        <w:rPr>
          <w:b/>
          <w:sz w:val="24"/>
          <w:lang w:val="en-GB" w:eastAsia="ko-KR"/>
        </w:rPr>
      </w:pPr>
      <w:r w:rsidRPr="00E04ED2">
        <w:rPr>
          <w:b/>
          <w:sz w:val="24"/>
          <w:lang w:val="en-GB" w:eastAsia="ko-KR"/>
        </w:rPr>
        <w:t xml:space="preserve">Observation </w:t>
      </w:r>
      <w:r w:rsidR="001E338C">
        <w:rPr>
          <w:b/>
          <w:sz w:val="24"/>
          <w:lang w:val="en-GB" w:eastAsia="ko-KR"/>
        </w:rPr>
        <w:t>2</w:t>
      </w:r>
      <w:r w:rsidRPr="00E04ED2">
        <w:rPr>
          <w:b/>
          <w:sz w:val="24"/>
          <w:lang w:val="en-GB" w:eastAsia="ko-KR"/>
        </w:rPr>
        <w:t xml:space="preserve">: </w:t>
      </w:r>
      <w:r w:rsidR="00CC5565" w:rsidRPr="00E04ED2">
        <w:rPr>
          <w:b/>
          <w:sz w:val="24"/>
          <w:lang w:val="en-GB" w:eastAsia="ko-KR"/>
        </w:rPr>
        <w:t xml:space="preserve">Indication channel for UL data transmission suspension </w:t>
      </w:r>
      <w:r w:rsidRPr="00E04ED2">
        <w:rPr>
          <w:b/>
          <w:sz w:val="24"/>
          <w:lang w:val="en-GB" w:eastAsia="ko-KR"/>
        </w:rPr>
        <w:t xml:space="preserve">may allow the gNB to suspend ongoing eMBB transmissions and improving the URLLC UE reliability and overall </w:t>
      </w:r>
      <w:r w:rsidR="005640FD" w:rsidRPr="00E04ED2">
        <w:rPr>
          <w:b/>
          <w:sz w:val="24"/>
          <w:lang w:val="en-GB" w:eastAsia="ko-KR"/>
        </w:rPr>
        <w:t xml:space="preserve">URLLC </w:t>
      </w:r>
      <w:r w:rsidRPr="00E04ED2">
        <w:rPr>
          <w:b/>
          <w:sz w:val="24"/>
          <w:lang w:val="en-GB" w:eastAsia="ko-KR"/>
        </w:rPr>
        <w:t>system capacity.</w:t>
      </w:r>
    </w:p>
    <w:p w14:paraId="254A248D" w14:textId="77777777" w:rsidR="008D02D9" w:rsidRPr="0007631D" w:rsidRDefault="008D02D9" w:rsidP="008D02D9">
      <w:pPr>
        <w:pStyle w:val="Heading2"/>
        <w:rPr>
          <w:rFonts w:ascii="Times New Roman" w:hAnsi="Times New Roman"/>
          <w:lang w:eastAsia="ko-KR"/>
        </w:rPr>
      </w:pPr>
      <w:r w:rsidRPr="0007631D">
        <w:rPr>
          <w:rFonts w:ascii="Times New Roman" w:hAnsi="Times New Roman"/>
          <w:lang w:eastAsia="ko-KR"/>
        </w:rPr>
        <w:t>The design principles for the indication channel</w:t>
      </w:r>
    </w:p>
    <w:p w14:paraId="286907A5" w14:textId="3B3D7ACA" w:rsidR="008D02D9" w:rsidRPr="0007631D" w:rsidRDefault="008D02D9" w:rsidP="008D02D9">
      <w:pPr>
        <w:rPr>
          <w:sz w:val="24"/>
          <w:lang w:val="en-GB" w:eastAsia="ko-KR"/>
        </w:rPr>
      </w:pPr>
      <w:r w:rsidRPr="0007631D">
        <w:rPr>
          <w:sz w:val="24"/>
          <w:lang w:val="en-GB" w:eastAsia="ko-KR"/>
        </w:rPr>
        <w:t xml:space="preserve">The contribution [3] discusses the benefit of using indication channels for the dynamic multiplexing between URLLC and eMBB on the downlink. Therein, eMBB UEs can monitor which portion of their allocated resources that have been pre-empted, punctured, or superpositioned for serving URLLC </w:t>
      </w:r>
      <w:r w:rsidRPr="0007631D">
        <w:rPr>
          <w:sz w:val="24"/>
          <w:lang w:val="en-GB" w:eastAsia="ko-KR"/>
        </w:rPr>
        <w:lastRenderedPageBreak/>
        <w:t xml:space="preserve">traffic, and recover the impacted eMBB data afterwards. Indication channels are also beneficial for the dynamic multiplexing of eMBB and URLLC on the uplink. Consider the following procedures (see Figure </w:t>
      </w:r>
      <w:r w:rsidR="00B07E3E" w:rsidRPr="0007631D">
        <w:rPr>
          <w:sz w:val="24"/>
          <w:lang w:val="en-GB" w:eastAsia="ko-KR"/>
        </w:rPr>
        <w:t>4</w:t>
      </w:r>
      <w:r w:rsidRPr="0007631D">
        <w:rPr>
          <w:sz w:val="24"/>
          <w:lang w:val="en-GB" w:eastAsia="ko-KR"/>
        </w:rPr>
        <w:t xml:space="preserve"> for an example):</w:t>
      </w:r>
    </w:p>
    <w:p w14:paraId="60571749" w14:textId="77777777" w:rsidR="008D02D9" w:rsidRPr="0007631D" w:rsidRDefault="008D02D9" w:rsidP="008D02D9">
      <w:pPr>
        <w:pStyle w:val="ListParagraph"/>
        <w:numPr>
          <w:ilvl w:val="0"/>
          <w:numId w:val="8"/>
        </w:numPr>
        <w:rPr>
          <w:rFonts w:ascii="Times New Roman" w:hAnsi="Times New Roman"/>
          <w:sz w:val="24"/>
          <w:lang w:val="en-GB" w:eastAsia="ko-KR"/>
        </w:rPr>
      </w:pPr>
      <w:r w:rsidRPr="0007631D">
        <w:rPr>
          <w:rFonts w:ascii="Times New Roman" w:hAnsi="Times New Roman"/>
          <w:sz w:val="24"/>
          <w:lang w:val="en-GB" w:eastAsia="ko-KR"/>
        </w:rPr>
        <w:t>There is an ongoing UL eMBB transmission in the current slot.</w:t>
      </w:r>
    </w:p>
    <w:p w14:paraId="08253D44" w14:textId="77777777" w:rsidR="008D02D9" w:rsidRPr="0007631D" w:rsidRDefault="008D02D9" w:rsidP="008D02D9">
      <w:pPr>
        <w:pStyle w:val="ListParagraph"/>
        <w:numPr>
          <w:ilvl w:val="0"/>
          <w:numId w:val="8"/>
        </w:numPr>
        <w:rPr>
          <w:rFonts w:ascii="Times New Roman" w:hAnsi="Times New Roman"/>
          <w:sz w:val="24"/>
          <w:lang w:val="en-GB" w:eastAsia="ko-KR"/>
        </w:rPr>
      </w:pPr>
      <w:r w:rsidRPr="0007631D">
        <w:rPr>
          <w:rFonts w:ascii="Times New Roman" w:hAnsi="Times New Roman"/>
          <w:sz w:val="24"/>
          <w:lang w:val="en-GB" w:eastAsia="ko-KR"/>
        </w:rPr>
        <w:t>Upon a new arrival of URLLC traffic at the UE in the same cell, the UE sends SR on a dedicated channel to the gNB in the next minislot to request for an UL grant.</w:t>
      </w:r>
    </w:p>
    <w:p w14:paraId="17AC02D7" w14:textId="77777777" w:rsidR="008D02D9" w:rsidRPr="0007631D" w:rsidRDefault="008D02D9" w:rsidP="008D02D9">
      <w:pPr>
        <w:pStyle w:val="ListParagraph"/>
        <w:numPr>
          <w:ilvl w:val="0"/>
          <w:numId w:val="8"/>
        </w:numPr>
        <w:rPr>
          <w:rFonts w:ascii="Times New Roman" w:hAnsi="Times New Roman"/>
          <w:sz w:val="24"/>
          <w:lang w:val="en-GB" w:eastAsia="ko-KR"/>
        </w:rPr>
      </w:pPr>
      <w:r w:rsidRPr="0007631D">
        <w:rPr>
          <w:rFonts w:ascii="Times New Roman" w:hAnsi="Times New Roman"/>
          <w:sz w:val="24"/>
          <w:lang w:val="en-GB" w:eastAsia="ko-KR"/>
        </w:rPr>
        <w:t>The gNB sends the UL grant and signals the eMBB UE via the indication channel to mute the eMBB transmission for one or a few minislots that are scheduled for the UL URLLC transmission. Both eMBB and URLLC UEs need to monitor this indication channel for the UL grant.</w:t>
      </w:r>
      <w:r w:rsidRPr="0007631D">
        <w:rPr>
          <w:rFonts w:ascii="Times New Roman" w:hAnsi="Times New Roman"/>
          <w:sz w:val="24"/>
          <w:lang w:val="en-GB" w:eastAsia="ko-KR"/>
        </w:rPr>
        <w:br/>
      </w:r>
    </w:p>
    <w:p w14:paraId="3CF5C13B" w14:textId="77777777" w:rsidR="008D02D9" w:rsidRPr="0007631D" w:rsidRDefault="008D02D9" w:rsidP="008D02D9">
      <w:pPr>
        <w:rPr>
          <w:sz w:val="24"/>
          <w:lang w:val="en-GB" w:eastAsia="ko-KR"/>
        </w:rPr>
      </w:pPr>
      <w:r w:rsidRPr="0007631D">
        <w:rPr>
          <w:sz w:val="24"/>
          <w:lang w:val="en-GB" w:eastAsia="ko-KR"/>
        </w:rPr>
        <w:t>These procedures help to eliminate intra-cell eMBB-to-URLLC interference and improve the URLLC performance as explained in Section 4.1.</w:t>
      </w:r>
    </w:p>
    <w:p w14:paraId="3B02C715" w14:textId="77777777" w:rsidR="008D02D9" w:rsidRPr="0007631D" w:rsidRDefault="008D02D9" w:rsidP="008D02D9">
      <w:pPr>
        <w:jc w:val="center"/>
        <w:rPr>
          <w:sz w:val="24"/>
          <w:lang w:val="en-GB" w:eastAsia="ko-KR"/>
        </w:rPr>
      </w:pPr>
      <w:r w:rsidRPr="0007631D">
        <w:rPr>
          <w:noProof/>
          <w:sz w:val="24"/>
          <w:lang w:eastAsia="zh-TW"/>
        </w:rPr>
        <w:drawing>
          <wp:inline distT="0" distB="0" distL="0" distR="0" wp14:anchorId="04944E89" wp14:editId="489591C5">
            <wp:extent cx="5389665" cy="2968222"/>
            <wp:effectExtent l="0" t="0" r="190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6839" cy="2988695"/>
                    </a:xfrm>
                    <a:prstGeom prst="rect">
                      <a:avLst/>
                    </a:prstGeom>
                    <a:noFill/>
                    <a:ln>
                      <a:noFill/>
                    </a:ln>
                  </pic:spPr>
                </pic:pic>
              </a:graphicData>
            </a:graphic>
          </wp:inline>
        </w:drawing>
      </w:r>
    </w:p>
    <w:p w14:paraId="749C3184" w14:textId="1D90EA48" w:rsidR="008D02D9" w:rsidRPr="0007631D" w:rsidRDefault="008D02D9" w:rsidP="008D02D9">
      <w:pPr>
        <w:pStyle w:val="Caption"/>
        <w:jc w:val="center"/>
        <w:rPr>
          <w:lang w:val="en-GB" w:eastAsia="ko-KR"/>
        </w:rPr>
      </w:pPr>
      <w:r w:rsidRPr="0007631D">
        <w:rPr>
          <w:lang w:val="en-GB" w:eastAsia="ko-KR"/>
        </w:rPr>
        <w:t xml:space="preserve">Figure </w:t>
      </w:r>
      <w:r w:rsidR="00B07E3E" w:rsidRPr="0007631D">
        <w:rPr>
          <w:lang w:val="en-GB" w:eastAsia="ko-KR"/>
        </w:rPr>
        <w:t>4</w:t>
      </w:r>
      <w:r w:rsidRPr="0007631D">
        <w:rPr>
          <w:lang w:val="en-GB" w:eastAsia="ko-KR"/>
        </w:rPr>
        <w:t>. A unified indication channel for UL URLLC/eMBB multiplexing.</w:t>
      </w:r>
    </w:p>
    <w:p w14:paraId="27247A55" w14:textId="77777777" w:rsidR="008D02D9" w:rsidRPr="0007631D" w:rsidRDefault="008D02D9" w:rsidP="008D02D9">
      <w:pPr>
        <w:rPr>
          <w:sz w:val="24"/>
          <w:lang w:val="en-GB" w:eastAsia="ko-KR"/>
        </w:rPr>
      </w:pPr>
      <w:r w:rsidRPr="0007631D">
        <w:rPr>
          <w:sz w:val="24"/>
          <w:lang w:val="en-GB" w:eastAsia="ko-KR"/>
        </w:rPr>
        <w:t>Since the indication channels for both UL and DL URLLC are used for the gNB to signal the eMBB UEs, they could be unified in the structure and channelized in the same DL channel to minimize the indication overhead. See [6] for a unified design of indication channels for UL/DL URLLC.</w:t>
      </w:r>
    </w:p>
    <w:p w14:paraId="3D75DF94" w14:textId="02A55D50" w:rsidR="008D02D9" w:rsidRPr="00BB3C65" w:rsidRDefault="008D02D9" w:rsidP="008D02D9">
      <w:pPr>
        <w:rPr>
          <w:b/>
          <w:sz w:val="24"/>
          <w:lang w:val="en-GB" w:eastAsia="ko-KR"/>
        </w:rPr>
      </w:pPr>
      <w:r w:rsidRPr="00BB3C65">
        <w:rPr>
          <w:b/>
          <w:sz w:val="24"/>
          <w:lang w:val="en-GB" w:eastAsia="ko-KR"/>
        </w:rPr>
        <w:t xml:space="preserve">Observation </w:t>
      </w:r>
      <w:r w:rsidR="00BA62F0">
        <w:rPr>
          <w:b/>
          <w:sz w:val="24"/>
          <w:lang w:val="en-GB" w:eastAsia="ko-KR"/>
        </w:rPr>
        <w:t>3</w:t>
      </w:r>
      <w:r w:rsidRPr="00BB3C65">
        <w:rPr>
          <w:b/>
          <w:sz w:val="24"/>
          <w:lang w:val="en-GB" w:eastAsia="ko-KR"/>
        </w:rPr>
        <w:t>: Indication channels for both UL and DL URLLC could be unified in the structure and channelized in the same DL channel to minimize the indication overhead.</w:t>
      </w:r>
    </w:p>
    <w:p w14:paraId="6E0EFC4A" w14:textId="77777777" w:rsidR="008D02D9" w:rsidRPr="0007631D" w:rsidRDefault="008D02D9" w:rsidP="008D02D9">
      <w:pPr>
        <w:rPr>
          <w:sz w:val="24"/>
          <w:lang w:val="en-GB" w:eastAsia="ko-KR"/>
        </w:rPr>
      </w:pPr>
      <w:r w:rsidRPr="0007631D">
        <w:rPr>
          <w:sz w:val="24"/>
          <w:lang w:val="en-GB" w:eastAsia="ko-KR"/>
        </w:rPr>
        <w:t>Since the purpose of the indication channel is to prevent the ongoing UL eMMB transmission from jamming the URLLC transmission, the indication channel design for UL URLLC has to be current per mini-slot to achieve effective signal suspension. See [7] for discussions on current indication channels for DL URLLC; the design principles therein are applicable to UL URLLC as well.</w:t>
      </w:r>
    </w:p>
    <w:p w14:paraId="405982B9" w14:textId="2257F532" w:rsidR="008D02D9" w:rsidRPr="00DB36EA" w:rsidRDefault="00892492" w:rsidP="008D02D9">
      <w:pPr>
        <w:rPr>
          <w:b/>
          <w:sz w:val="24"/>
          <w:lang w:val="en-GB" w:eastAsia="ko-KR"/>
        </w:rPr>
      </w:pPr>
      <w:r>
        <w:rPr>
          <w:b/>
          <w:sz w:val="24"/>
          <w:lang w:val="en-GB" w:eastAsia="ko-KR"/>
        </w:rPr>
        <w:t>Observation 4</w:t>
      </w:r>
      <w:r w:rsidR="008D02D9" w:rsidRPr="00DB36EA">
        <w:rPr>
          <w:b/>
          <w:sz w:val="24"/>
          <w:lang w:val="en-GB" w:eastAsia="ko-KR"/>
        </w:rPr>
        <w:t>: Indication channels are beneficial to remove intra-cell eMBB-to-URLLC interference to improve the URLLC capacity on the uplink. The indication channels need to be current per mini-slot to achieve effective signal suspension.</w:t>
      </w:r>
    </w:p>
    <w:p w14:paraId="50C7480F" w14:textId="64E1AA92" w:rsidR="00630883" w:rsidRPr="0007631D" w:rsidRDefault="00B451F1" w:rsidP="00630883">
      <w:pPr>
        <w:pStyle w:val="Heading1"/>
        <w:rPr>
          <w:rFonts w:ascii="Times New Roman" w:hAnsi="Times New Roman"/>
          <w:lang w:eastAsia="ko-KR"/>
        </w:rPr>
      </w:pPr>
      <w:r w:rsidRPr="0007631D">
        <w:rPr>
          <w:rFonts w:ascii="Times New Roman" w:hAnsi="Times New Roman"/>
          <w:lang w:eastAsia="ko-KR"/>
        </w:rPr>
        <w:lastRenderedPageBreak/>
        <w:t xml:space="preserve">Application to </w:t>
      </w:r>
      <w:r w:rsidR="00A879E8" w:rsidRPr="0007631D">
        <w:rPr>
          <w:rFonts w:ascii="Times New Roman" w:hAnsi="Times New Roman"/>
          <w:lang w:eastAsia="ko-KR"/>
        </w:rPr>
        <w:t xml:space="preserve">the </w:t>
      </w:r>
      <w:r w:rsidR="006949CB" w:rsidRPr="0007631D">
        <w:rPr>
          <w:rFonts w:ascii="Times New Roman" w:hAnsi="Times New Roman"/>
          <w:lang w:eastAsia="ko-KR"/>
        </w:rPr>
        <w:t>Indication</w:t>
      </w:r>
      <w:r w:rsidRPr="0007631D">
        <w:rPr>
          <w:rFonts w:ascii="Times New Roman" w:hAnsi="Times New Roman"/>
          <w:lang w:eastAsia="ko-KR"/>
        </w:rPr>
        <w:t xml:space="preserve"> Channel Design</w:t>
      </w:r>
      <w:r w:rsidR="006949CB" w:rsidRPr="0007631D">
        <w:rPr>
          <w:rFonts w:ascii="Times New Roman" w:hAnsi="Times New Roman"/>
          <w:lang w:eastAsia="ko-KR"/>
        </w:rPr>
        <w:t xml:space="preserve"> for UL eMBB/URLLC multiplexing</w:t>
      </w:r>
    </w:p>
    <w:p w14:paraId="46ED0E0E" w14:textId="17514BA4" w:rsidR="000F6FA4" w:rsidRPr="0007631D" w:rsidRDefault="00A87936" w:rsidP="00A87936">
      <w:pPr>
        <w:jc w:val="both"/>
        <w:rPr>
          <w:sz w:val="24"/>
          <w:lang w:val="en-GB"/>
        </w:rPr>
      </w:pPr>
      <w:r w:rsidRPr="0007631D">
        <w:rPr>
          <w:sz w:val="24"/>
          <w:szCs w:val="24"/>
        </w:rPr>
        <w:t xml:space="preserve">The aforementioned indication schemes can directly apply to </w:t>
      </w:r>
      <w:r w:rsidR="00280B4A" w:rsidRPr="0007631D">
        <w:rPr>
          <w:sz w:val="24"/>
          <w:szCs w:val="24"/>
        </w:rPr>
        <w:t xml:space="preserve">the indication channel for the </w:t>
      </w:r>
      <w:r w:rsidRPr="0007631D">
        <w:rPr>
          <w:sz w:val="24"/>
          <w:szCs w:val="24"/>
        </w:rPr>
        <w:t xml:space="preserve">UL </w:t>
      </w:r>
      <w:r w:rsidR="00280B4A" w:rsidRPr="0007631D">
        <w:rPr>
          <w:sz w:val="24"/>
          <w:szCs w:val="24"/>
        </w:rPr>
        <w:t>URLLC/eMBB multiplexing.</w:t>
      </w:r>
      <w:r w:rsidRPr="0007631D">
        <w:rPr>
          <w:sz w:val="24"/>
          <w:szCs w:val="24"/>
        </w:rPr>
        <w:t xml:space="preserve"> </w:t>
      </w:r>
      <w:r w:rsidR="001C090F" w:rsidRPr="0007631D">
        <w:rPr>
          <w:sz w:val="24"/>
          <w:lang w:val="en-GB"/>
        </w:rPr>
        <w:t xml:space="preserve">In particular, </w:t>
      </w:r>
      <w:r w:rsidR="00C252FC" w:rsidRPr="0007631D">
        <w:rPr>
          <w:sz w:val="24"/>
          <w:lang w:val="en-GB"/>
        </w:rPr>
        <w:t xml:space="preserve">when UL URLLC traffic presents, a scheduling request (SR) is sent on a dedicated uplink resource. </w:t>
      </w:r>
      <w:r w:rsidR="005321BF" w:rsidRPr="0007631D">
        <w:rPr>
          <w:sz w:val="24"/>
          <w:lang w:val="en-GB"/>
        </w:rPr>
        <w:t xml:space="preserve">Upon receiving a SR, </w:t>
      </w:r>
      <w:r w:rsidR="00C252FC" w:rsidRPr="0007631D">
        <w:rPr>
          <w:sz w:val="24"/>
          <w:lang w:val="en-GB"/>
        </w:rPr>
        <w:t xml:space="preserve">gNB will send UL URLLC grants on </w:t>
      </w:r>
      <w:r w:rsidR="001C090F" w:rsidRPr="0007631D">
        <w:rPr>
          <w:sz w:val="24"/>
          <w:lang w:val="en-GB"/>
        </w:rPr>
        <w:t>the current indication channel</w:t>
      </w:r>
      <w:r w:rsidR="00D86752" w:rsidRPr="0007631D">
        <w:rPr>
          <w:sz w:val="24"/>
          <w:lang w:val="en-GB"/>
        </w:rPr>
        <w:t xml:space="preserve"> (e.g. PCFICH-type structure burst)</w:t>
      </w:r>
      <w:r w:rsidR="001C090F" w:rsidRPr="0007631D">
        <w:rPr>
          <w:sz w:val="24"/>
          <w:lang w:val="en-GB"/>
        </w:rPr>
        <w:t xml:space="preserve"> in </w:t>
      </w:r>
      <w:r w:rsidR="00C252FC" w:rsidRPr="0007631D">
        <w:rPr>
          <w:sz w:val="24"/>
          <w:lang w:val="en-GB"/>
        </w:rPr>
        <w:t xml:space="preserve">the next </w:t>
      </w:r>
      <w:r w:rsidR="001C090F" w:rsidRPr="0007631D">
        <w:rPr>
          <w:sz w:val="24"/>
          <w:lang w:val="en-GB"/>
        </w:rPr>
        <w:t xml:space="preserve">DL </w:t>
      </w:r>
      <w:r w:rsidR="00C252FC" w:rsidRPr="0007631D">
        <w:rPr>
          <w:sz w:val="24"/>
          <w:lang w:val="en-GB"/>
        </w:rPr>
        <w:t>mini-slot</w:t>
      </w:r>
      <w:r w:rsidR="001C090F" w:rsidRPr="0007631D">
        <w:rPr>
          <w:sz w:val="24"/>
          <w:lang w:val="en-GB"/>
        </w:rPr>
        <w:t xml:space="preserve">. </w:t>
      </w:r>
      <w:r w:rsidR="00C252FC" w:rsidRPr="0007631D">
        <w:rPr>
          <w:sz w:val="24"/>
          <w:lang w:val="en-GB"/>
        </w:rPr>
        <w:t>B</w:t>
      </w:r>
      <w:r w:rsidR="001C090F" w:rsidRPr="0007631D">
        <w:rPr>
          <w:sz w:val="24"/>
          <w:lang w:val="en-GB"/>
        </w:rPr>
        <w:t xml:space="preserve">oth eMBB </w:t>
      </w:r>
      <w:r w:rsidR="00C252FC" w:rsidRPr="0007631D">
        <w:rPr>
          <w:sz w:val="24"/>
          <w:lang w:val="en-GB"/>
        </w:rPr>
        <w:t xml:space="preserve">UEs (if transmitting on UL) </w:t>
      </w:r>
      <w:r w:rsidR="001C090F" w:rsidRPr="0007631D">
        <w:rPr>
          <w:sz w:val="24"/>
          <w:lang w:val="en-GB"/>
        </w:rPr>
        <w:t>and URLLC UE</w:t>
      </w:r>
      <w:r w:rsidR="00C252FC" w:rsidRPr="0007631D">
        <w:rPr>
          <w:sz w:val="24"/>
          <w:lang w:val="en-GB"/>
        </w:rPr>
        <w:t>s</w:t>
      </w:r>
      <w:r w:rsidR="001C090F" w:rsidRPr="0007631D">
        <w:rPr>
          <w:sz w:val="24"/>
          <w:lang w:val="en-GB"/>
        </w:rPr>
        <w:t xml:space="preserve"> </w:t>
      </w:r>
      <w:r w:rsidR="00733BC0" w:rsidRPr="0007631D">
        <w:rPr>
          <w:sz w:val="24"/>
          <w:lang w:val="en-GB"/>
        </w:rPr>
        <w:t xml:space="preserve">could </w:t>
      </w:r>
      <w:r w:rsidR="001E0F76" w:rsidRPr="0007631D">
        <w:rPr>
          <w:sz w:val="24"/>
          <w:lang w:val="en-GB"/>
        </w:rPr>
        <w:t>monitor</w:t>
      </w:r>
      <w:r w:rsidR="001C090F" w:rsidRPr="0007631D">
        <w:rPr>
          <w:sz w:val="24"/>
          <w:lang w:val="en-GB"/>
        </w:rPr>
        <w:t xml:space="preserve"> this indication channel for</w:t>
      </w:r>
      <w:r w:rsidR="005321BF" w:rsidRPr="0007631D">
        <w:rPr>
          <w:sz w:val="24"/>
          <w:lang w:val="en-GB"/>
        </w:rPr>
        <w:t xml:space="preserve"> the</w:t>
      </w:r>
      <w:r w:rsidR="001C090F" w:rsidRPr="0007631D">
        <w:rPr>
          <w:sz w:val="24"/>
          <w:lang w:val="en-GB"/>
        </w:rPr>
        <w:t xml:space="preserve"> scheduling </w:t>
      </w:r>
      <w:r w:rsidR="00733BC0" w:rsidRPr="0007631D">
        <w:rPr>
          <w:sz w:val="24"/>
          <w:lang w:val="en-GB"/>
        </w:rPr>
        <w:t>information</w:t>
      </w:r>
      <w:r w:rsidR="001C090F" w:rsidRPr="0007631D">
        <w:rPr>
          <w:sz w:val="24"/>
          <w:lang w:val="en-GB"/>
        </w:rPr>
        <w:t xml:space="preserve">. </w:t>
      </w:r>
      <w:r w:rsidR="00C252FC" w:rsidRPr="0007631D">
        <w:rPr>
          <w:sz w:val="24"/>
          <w:lang w:val="en-GB"/>
        </w:rPr>
        <w:t>T</w:t>
      </w:r>
      <w:r w:rsidR="001C090F" w:rsidRPr="0007631D">
        <w:rPr>
          <w:sz w:val="24"/>
          <w:lang w:val="en-GB"/>
        </w:rPr>
        <w:t>he</w:t>
      </w:r>
      <w:r w:rsidR="003570F4" w:rsidRPr="0007631D">
        <w:rPr>
          <w:sz w:val="24"/>
          <w:lang w:val="en-GB"/>
        </w:rPr>
        <w:t xml:space="preserve"> on-going eMBB UL</w:t>
      </w:r>
      <w:r w:rsidR="001C090F" w:rsidRPr="0007631D">
        <w:rPr>
          <w:sz w:val="24"/>
          <w:lang w:val="en-GB"/>
        </w:rPr>
        <w:t xml:space="preserve"> transmission </w:t>
      </w:r>
      <w:r w:rsidR="00C252FC" w:rsidRPr="0007631D">
        <w:rPr>
          <w:sz w:val="24"/>
          <w:lang w:val="en-GB"/>
        </w:rPr>
        <w:t>will yield on the reso</w:t>
      </w:r>
      <w:r w:rsidR="00733BC0" w:rsidRPr="0007631D">
        <w:rPr>
          <w:sz w:val="24"/>
          <w:lang w:val="en-GB"/>
        </w:rPr>
        <w:t xml:space="preserve">urces indicated by the UL URLLC. </w:t>
      </w:r>
      <w:r w:rsidR="00C252FC" w:rsidRPr="0007631D">
        <w:rPr>
          <w:sz w:val="24"/>
          <w:lang w:val="en-GB"/>
        </w:rPr>
        <w:t>One can notice that, b</w:t>
      </w:r>
      <w:r w:rsidR="00534EE7" w:rsidRPr="0007631D">
        <w:rPr>
          <w:sz w:val="24"/>
          <w:lang w:val="en-GB"/>
        </w:rPr>
        <w:t>y doing so, we achieve a unified indication channel design for both UL and DL transmissions</w:t>
      </w:r>
      <w:r w:rsidR="00F821C0" w:rsidRPr="0007631D">
        <w:rPr>
          <w:sz w:val="24"/>
          <w:lang w:val="en-GB"/>
        </w:rPr>
        <w:t xml:space="preserve"> URLLC</w:t>
      </w:r>
      <w:r w:rsidR="00534EE7" w:rsidRPr="0007631D">
        <w:rPr>
          <w:sz w:val="24"/>
          <w:lang w:val="en-GB"/>
        </w:rPr>
        <w:t xml:space="preserve">. </w:t>
      </w:r>
      <w:r w:rsidR="00C252FC" w:rsidRPr="0007631D">
        <w:rPr>
          <w:sz w:val="24"/>
          <w:lang w:val="en-GB"/>
        </w:rPr>
        <w:t xml:space="preserve">One example is presented in Figure </w:t>
      </w:r>
      <w:r w:rsidR="00B07E3E" w:rsidRPr="0007631D">
        <w:rPr>
          <w:sz w:val="24"/>
          <w:lang w:val="en-GB"/>
        </w:rPr>
        <w:t>5</w:t>
      </w:r>
      <w:r w:rsidR="00C252FC" w:rsidRPr="0007631D">
        <w:rPr>
          <w:sz w:val="24"/>
          <w:lang w:val="en-GB"/>
        </w:rPr>
        <w:t xml:space="preserve">, where we assume an indication channel separated from </w:t>
      </w:r>
      <w:r w:rsidR="00627A8B" w:rsidRPr="0007631D">
        <w:rPr>
          <w:sz w:val="24"/>
          <w:lang w:val="en-GB"/>
        </w:rPr>
        <w:t>the eMBB data and carried by the mini-slot PDCCH</w:t>
      </w:r>
      <w:r w:rsidR="00DD3A5A" w:rsidRPr="0007631D">
        <w:rPr>
          <w:sz w:val="24"/>
          <w:lang w:val="en-GB"/>
        </w:rPr>
        <w:t>/GC-PDCCH</w:t>
      </w:r>
      <w:r w:rsidR="00627A8B" w:rsidRPr="0007631D">
        <w:rPr>
          <w:sz w:val="24"/>
          <w:lang w:val="en-GB"/>
        </w:rPr>
        <w:t>.</w:t>
      </w:r>
    </w:p>
    <w:p w14:paraId="7670F2A8" w14:textId="79010863" w:rsidR="002B7540" w:rsidRPr="0007631D" w:rsidRDefault="00C161CE" w:rsidP="000F6FA4">
      <w:pPr>
        <w:jc w:val="center"/>
        <w:rPr>
          <w:sz w:val="24"/>
          <w:lang w:val="en-GB"/>
        </w:rPr>
      </w:pPr>
      <w:r w:rsidRPr="0007631D">
        <w:rPr>
          <w:noProof/>
          <w:sz w:val="24"/>
          <w:lang w:eastAsia="zh-TW"/>
        </w:rPr>
        <w:drawing>
          <wp:inline distT="0" distB="0" distL="0" distR="0" wp14:anchorId="6F0959E9" wp14:editId="0CFE5334">
            <wp:extent cx="4316787" cy="2377361"/>
            <wp:effectExtent l="0" t="0" r="762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22003" cy="2380234"/>
                    </a:xfrm>
                    <a:prstGeom prst="rect">
                      <a:avLst/>
                    </a:prstGeom>
                    <a:noFill/>
                    <a:ln>
                      <a:noFill/>
                    </a:ln>
                  </pic:spPr>
                </pic:pic>
              </a:graphicData>
            </a:graphic>
          </wp:inline>
        </w:drawing>
      </w:r>
    </w:p>
    <w:p w14:paraId="691A02B8" w14:textId="551533E6" w:rsidR="000F6FA4" w:rsidRPr="0007631D" w:rsidRDefault="000F6FA4" w:rsidP="000F6FA4">
      <w:pPr>
        <w:jc w:val="center"/>
        <w:rPr>
          <w:b/>
          <w:lang w:eastAsia="ko-KR"/>
        </w:rPr>
      </w:pPr>
      <w:r w:rsidRPr="0007631D">
        <w:rPr>
          <w:b/>
          <w:sz w:val="22"/>
        </w:rPr>
        <w:t xml:space="preserve">Figure </w:t>
      </w:r>
      <w:r w:rsidR="00B07E3E" w:rsidRPr="0007631D">
        <w:rPr>
          <w:b/>
          <w:sz w:val="22"/>
        </w:rPr>
        <w:t>5</w:t>
      </w:r>
      <w:r w:rsidRPr="0007631D">
        <w:rPr>
          <w:b/>
          <w:color w:val="000000" w:themeColor="text1"/>
          <w:sz w:val="22"/>
        </w:rPr>
        <w:t xml:space="preserve">. </w:t>
      </w:r>
      <w:r w:rsidR="00606D70" w:rsidRPr="0007631D">
        <w:rPr>
          <w:b/>
          <w:color w:val="000000" w:themeColor="text1"/>
          <w:sz w:val="22"/>
        </w:rPr>
        <w:t>A unified i</w:t>
      </w:r>
      <w:r w:rsidRPr="0007631D">
        <w:rPr>
          <w:b/>
          <w:color w:val="000000" w:themeColor="text1"/>
          <w:sz w:val="22"/>
        </w:rPr>
        <w:t xml:space="preserve">ndication channel </w:t>
      </w:r>
      <w:r w:rsidR="001F0999" w:rsidRPr="0007631D">
        <w:rPr>
          <w:b/>
          <w:color w:val="000000" w:themeColor="text1"/>
          <w:sz w:val="22"/>
        </w:rPr>
        <w:t xml:space="preserve">design </w:t>
      </w:r>
      <w:r w:rsidRPr="0007631D">
        <w:rPr>
          <w:b/>
          <w:color w:val="000000" w:themeColor="text1"/>
          <w:sz w:val="22"/>
        </w:rPr>
        <w:t>for UL URLLC/eMBB multiplexing</w:t>
      </w:r>
    </w:p>
    <w:p w14:paraId="1AB2AAF3" w14:textId="39169379" w:rsidR="008D0777" w:rsidRPr="00760819" w:rsidRDefault="00EF02DF" w:rsidP="008D0777">
      <w:pPr>
        <w:jc w:val="both"/>
        <w:rPr>
          <w:b/>
          <w:sz w:val="24"/>
          <w:szCs w:val="24"/>
        </w:rPr>
      </w:pPr>
      <w:r w:rsidRPr="00760819">
        <w:rPr>
          <w:b/>
          <w:sz w:val="24"/>
          <w:szCs w:val="24"/>
        </w:rPr>
        <w:t>Proposal</w:t>
      </w:r>
      <w:r w:rsidR="008D0777" w:rsidRPr="00760819">
        <w:rPr>
          <w:b/>
          <w:sz w:val="24"/>
          <w:szCs w:val="24"/>
        </w:rPr>
        <w:t xml:space="preserve"> </w:t>
      </w:r>
      <w:r w:rsidR="00676FAE" w:rsidRPr="00760819">
        <w:rPr>
          <w:b/>
          <w:sz w:val="24"/>
          <w:szCs w:val="24"/>
        </w:rPr>
        <w:t>3</w:t>
      </w:r>
      <w:r w:rsidR="008D0777" w:rsidRPr="00760819">
        <w:rPr>
          <w:sz w:val="24"/>
          <w:szCs w:val="24"/>
        </w:rPr>
        <w:t xml:space="preserve">: </w:t>
      </w:r>
      <w:r w:rsidR="008D0777" w:rsidRPr="00760819">
        <w:rPr>
          <w:b/>
          <w:sz w:val="24"/>
          <w:szCs w:val="24"/>
        </w:rPr>
        <w:t xml:space="preserve">A unified indication channel design for both DL and UL </w:t>
      </w:r>
      <w:r w:rsidR="003721E8" w:rsidRPr="00760819">
        <w:rPr>
          <w:b/>
          <w:sz w:val="24"/>
          <w:szCs w:val="24"/>
        </w:rPr>
        <w:t>should</w:t>
      </w:r>
      <w:r w:rsidR="008D0777" w:rsidRPr="00760819">
        <w:rPr>
          <w:b/>
          <w:sz w:val="24"/>
          <w:szCs w:val="24"/>
        </w:rPr>
        <w:t xml:space="preserve"> be considered. </w:t>
      </w:r>
    </w:p>
    <w:p w14:paraId="084419FC" w14:textId="77777777" w:rsidR="00A411A6" w:rsidRPr="0007631D" w:rsidRDefault="00A411A6" w:rsidP="00A411A6">
      <w:pPr>
        <w:pStyle w:val="Heading1"/>
        <w:jc w:val="both"/>
        <w:rPr>
          <w:rFonts w:ascii="Times New Roman" w:hAnsi="Times New Roman"/>
        </w:rPr>
      </w:pPr>
      <w:r w:rsidRPr="0007631D">
        <w:rPr>
          <w:rFonts w:ascii="Times New Roman" w:hAnsi="Times New Roman"/>
        </w:rPr>
        <w:t>Conclusion</w:t>
      </w:r>
    </w:p>
    <w:p w14:paraId="36BD79B0" w14:textId="77777777" w:rsidR="00A749E3" w:rsidRPr="00797F31" w:rsidRDefault="00A749E3" w:rsidP="00A749E3">
      <w:pPr>
        <w:tabs>
          <w:tab w:val="num" w:pos="2160"/>
          <w:tab w:val="num" w:pos="2880"/>
        </w:tabs>
        <w:jc w:val="both"/>
        <w:rPr>
          <w:b/>
          <w:sz w:val="24"/>
          <w:szCs w:val="24"/>
        </w:rPr>
      </w:pPr>
      <w:r w:rsidRPr="00797F31">
        <w:rPr>
          <w:b/>
          <w:sz w:val="24"/>
          <w:szCs w:val="24"/>
        </w:rPr>
        <w:t>Observation</w:t>
      </w:r>
      <w:r>
        <w:rPr>
          <w:b/>
          <w:sz w:val="24"/>
          <w:szCs w:val="24"/>
        </w:rPr>
        <w:t xml:space="preserve"> 1</w:t>
      </w:r>
      <w:r w:rsidRPr="00797F31">
        <w:rPr>
          <w:b/>
          <w:sz w:val="24"/>
          <w:szCs w:val="24"/>
        </w:rPr>
        <w:t xml:space="preserve">: Non-slot-based monitoring of DL preemption indication improves the processing timeline, buffering requirement, and demodulation performance of eMBB UEs, as compared to the slot-based </w:t>
      </w:r>
      <w:r w:rsidRPr="0056740F">
        <w:rPr>
          <w:b/>
          <w:sz w:val="24"/>
          <w:szCs w:val="24"/>
        </w:rPr>
        <w:t xml:space="preserve">monitoring. The additional monitoring overhead is negligible as compared to the </w:t>
      </w:r>
      <w:r>
        <w:rPr>
          <w:b/>
          <w:sz w:val="24"/>
          <w:szCs w:val="24"/>
        </w:rPr>
        <w:t xml:space="preserve">processing of </w:t>
      </w:r>
      <w:r w:rsidRPr="0056740F">
        <w:rPr>
          <w:b/>
          <w:sz w:val="24"/>
          <w:szCs w:val="24"/>
        </w:rPr>
        <w:t xml:space="preserve">ongoing eMBB PDSCH transmissions (especially considering the benefits of processing timeline, </w:t>
      </w:r>
      <w:r>
        <w:rPr>
          <w:b/>
          <w:sz w:val="24"/>
          <w:szCs w:val="24"/>
        </w:rPr>
        <w:t xml:space="preserve">less than 1-slot based </w:t>
      </w:r>
      <w:r w:rsidRPr="0056740F">
        <w:rPr>
          <w:b/>
          <w:sz w:val="24"/>
          <w:szCs w:val="24"/>
        </w:rPr>
        <w:t>PI can have a net gain in terms of UE processing power).</w:t>
      </w:r>
    </w:p>
    <w:p w14:paraId="777B57CB" w14:textId="77777777" w:rsidR="00012EE9" w:rsidRPr="00E04ED2" w:rsidRDefault="00012EE9" w:rsidP="00012EE9">
      <w:pPr>
        <w:rPr>
          <w:b/>
          <w:sz w:val="24"/>
          <w:lang w:val="en-GB" w:eastAsia="ko-KR"/>
        </w:rPr>
      </w:pPr>
      <w:bookmarkStart w:id="8" w:name="_GoBack"/>
      <w:bookmarkEnd w:id="8"/>
      <w:r w:rsidRPr="00E04ED2">
        <w:rPr>
          <w:b/>
          <w:sz w:val="24"/>
          <w:lang w:val="en-GB" w:eastAsia="ko-KR"/>
        </w:rPr>
        <w:t xml:space="preserve">Observation </w:t>
      </w:r>
      <w:r>
        <w:rPr>
          <w:b/>
          <w:sz w:val="24"/>
          <w:lang w:val="en-GB" w:eastAsia="ko-KR"/>
        </w:rPr>
        <w:t>2</w:t>
      </w:r>
      <w:r w:rsidRPr="00E04ED2">
        <w:rPr>
          <w:b/>
          <w:sz w:val="24"/>
          <w:lang w:val="en-GB" w:eastAsia="ko-KR"/>
        </w:rPr>
        <w:t>: Indication channel for UL data transmission suspension may allow the gNB to suspend ongoing eMBB transmissions and improving the URLLC UE reliability and overall URLLC system capacity.</w:t>
      </w:r>
    </w:p>
    <w:p w14:paraId="0392792F" w14:textId="77777777" w:rsidR="00497EF8" w:rsidRPr="00BB3C65" w:rsidRDefault="00497EF8" w:rsidP="00497EF8">
      <w:pPr>
        <w:rPr>
          <w:b/>
          <w:sz w:val="24"/>
          <w:lang w:val="en-GB" w:eastAsia="ko-KR"/>
        </w:rPr>
      </w:pPr>
      <w:r w:rsidRPr="00BB3C65">
        <w:rPr>
          <w:b/>
          <w:sz w:val="24"/>
          <w:lang w:val="en-GB" w:eastAsia="ko-KR"/>
        </w:rPr>
        <w:t xml:space="preserve">Observation </w:t>
      </w:r>
      <w:r>
        <w:rPr>
          <w:b/>
          <w:sz w:val="24"/>
          <w:lang w:val="en-GB" w:eastAsia="ko-KR"/>
        </w:rPr>
        <w:t>3</w:t>
      </w:r>
      <w:r w:rsidRPr="00BB3C65">
        <w:rPr>
          <w:b/>
          <w:sz w:val="24"/>
          <w:lang w:val="en-GB" w:eastAsia="ko-KR"/>
        </w:rPr>
        <w:t>: Indication channels for both UL and DL URLLC could be unified in the structure and channelized in the same DL channel to minimize the indication overhead.</w:t>
      </w:r>
    </w:p>
    <w:p w14:paraId="71788779" w14:textId="77777777" w:rsidR="00D95B27" w:rsidRPr="00DB36EA" w:rsidRDefault="00D95B27" w:rsidP="00D95B27">
      <w:pPr>
        <w:rPr>
          <w:b/>
          <w:sz w:val="24"/>
          <w:lang w:val="en-GB" w:eastAsia="ko-KR"/>
        </w:rPr>
      </w:pPr>
      <w:r>
        <w:rPr>
          <w:b/>
          <w:sz w:val="24"/>
          <w:lang w:val="en-GB" w:eastAsia="ko-KR"/>
        </w:rPr>
        <w:lastRenderedPageBreak/>
        <w:t>Observation 4</w:t>
      </w:r>
      <w:r w:rsidRPr="00DB36EA">
        <w:rPr>
          <w:b/>
          <w:sz w:val="24"/>
          <w:lang w:val="en-GB" w:eastAsia="ko-KR"/>
        </w:rPr>
        <w:t>: Indication channels are beneficial to remove intra-cell eMBB-to-URLLC interference to improve the URLLC capacity on the uplink. The indication channels need to be current per mini-slot to achieve effective signal suspension.</w:t>
      </w:r>
    </w:p>
    <w:p w14:paraId="7A61C130" w14:textId="77777777" w:rsidR="00285C1F" w:rsidRPr="00055FC9" w:rsidRDefault="00285C1F" w:rsidP="00285C1F">
      <w:pPr>
        <w:jc w:val="both"/>
        <w:rPr>
          <w:b/>
          <w:sz w:val="24"/>
        </w:rPr>
      </w:pPr>
      <w:r w:rsidRPr="00055FC9">
        <w:rPr>
          <w:b/>
          <w:sz w:val="24"/>
          <w:szCs w:val="24"/>
        </w:rPr>
        <w:t xml:space="preserve">Proposal 1: The minimum periodicity for </w:t>
      </w:r>
      <w:r>
        <w:rPr>
          <w:b/>
          <w:sz w:val="24"/>
          <w:szCs w:val="24"/>
        </w:rPr>
        <w:t xml:space="preserve">an eMBB </w:t>
      </w:r>
      <w:r w:rsidRPr="00055FC9">
        <w:rPr>
          <w:b/>
          <w:sz w:val="24"/>
          <w:szCs w:val="24"/>
        </w:rPr>
        <w:t xml:space="preserve">UE to monitor group common DCI for DL preemption indication should be </w:t>
      </w:r>
      <w:r>
        <w:rPr>
          <w:b/>
          <w:sz w:val="24"/>
          <w:szCs w:val="24"/>
        </w:rPr>
        <w:t xml:space="preserve">less than one slot, e.g., </w:t>
      </w:r>
      <w:r w:rsidRPr="00055FC9">
        <w:rPr>
          <w:b/>
          <w:sz w:val="24"/>
          <w:szCs w:val="24"/>
        </w:rPr>
        <w:t>every mini-slot or a few mini-slots.</w:t>
      </w:r>
    </w:p>
    <w:p w14:paraId="7FB0B1F5" w14:textId="77777777" w:rsidR="00F1604E" w:rsidRPr="0007631D" w:rsidRDefault="00F1604E" w:rsidP="00F1604E">
      <w:pPr>
        <w:rPr>
          <w:b/>
          <w:sz w:val="24"/>
          <w:szCs w:val="24"/>
        </w:rPr>
      </w:pPr>
      <w:r w:rsidRPr="0007631D">
        <w:rPr>
          <w:b/>
          <w:sz w:val="24"/>
          <w:szCs w:val="24"/>
          <w:lang w:val="en-GB" w:eastAsia="ko-KR"/>
        </w:rPr>
        <w:t>Proposal 2</w:t>
      </w:r>
      <w:r w:rsidRPr="0007631D">
        <w:rPr>
          <w:sz w:val="24"/>
          <w:szCs w:val="24"/>
          <w:lang w:val="en-GB" w:eastAsia="ko-KR"/>
        </w:rPr>
        <w:t xml:space="preserve">: </w:t>
      </w:r>
      <w:r w:rsidRPr="0007631D">
        <w:rPr>
          <w:b/>
          <w:sz w:val="24"/>
          <w:szCs w:val="24"/>
        </w:rPr>
        <w:t>Dynamic multiplexing between eMBB and URLLC should be considered in NR uplink.</w:t>
      </w:r>
    </w:p>
    <w:p w14:paraId="3E57B971" w14:textId="2779A992" w:rsidR="005368CB" w:rsidRPr="00B67E51" w:rsidRDefault="005368CB" w:rsidP="005368CB">
      <w:pPr>
        <w:jc w:val="both"/>
        <w:rPr>
          <w:b/>
          <w:sz w:val="24"/>
          <w:szCs w:val="24"/>
        </w:rPr>
      </w:pPr>
      <w:r w:rsidRPr="00B67E51">
        <w:rPr>
          <w:b/>
          <w:sz w:val="24"/>
          <w:szCs w:val="24"/>
        </w:rPr>
        <w:t xml:space="preserve">Proposal </w:t>
      </w:r>
      <w:r w:rsidR="00676FAE" w:rsidRPr="00B67E51">
        <w:rPr>
          <w:b/>
          <w:sz w:val="24"/>
          <w:szCs w:val="24"/>
        </w:rPr>
        <w:t>3</w:t>
      </w:r>
      <w:r w:rsidRPr="00B67E51">
        <w:rPr>
          <w:sz w:val="24"/>
          <w:szCs w:val="24"/>
        </w:rPr>
        <w:t xml:space="preserve">: </w:t>
      </w:r>
      <w:r w:rsidRPr="00B67E51">
        <w:rPr>
          <w:b/>
          <w:sz w:val="24"/>
          <w:szCs w:val="24"/>
        </w:rPr>
        <w:t xml:space="preserve">A unified indication channel design for both DL and UL should be considered. </w:t>
      </w:r>
    </w:p>
    <w:p w14:paraId="332A0991" w14:textId="77777777" w:rsidR="00AD02E0" w:rsidRPr="0007631D" w:rsidRDefault="00AD02E0" w:rsidP="00AD02E0"/>
    <w:p w14:paraId="667DA264" w14:textId="77777777" w:rsidR="00A411A6" w:rsidRPr="0007631D" w:rsidRDefault="00A411A6" w:rsidP="00A411A6">
      <w:pPr>
        <w:pStyle w:val="Heading1"/>
        <w:textAlignment w:val="auto"/>
        <w:rPr>
          <w:rFonts w:ascii="Times New Roman" w:hAnsi="Times New Roman"/>
          <w:sz w:val="48"/>
          <w:lang w:val="en-US"/>
        </w:rPr>
      </w:pPr>
      <w:r w:rsidRPr="0007631D">
        <w:rPr>
          <w:rFonts w:ascii="Times New Roman" w:hAnsi="Times New Roman"/>
          <w:sz w:val="48"/>
          <w:lang w:val="en-US"/>
        </w:rPr>
        <w:t>References</w:t>
      </w:r>
    </w:p>
    <w:p w14:paraId="7CCBC2D2" w14:textId="77777777" w:rsidR="00A411A6" w:rsidRPr="0007631D" w:rsidRDefault="00A411A6" w:rsidP="00754D51">
      <w:pPr>
        <w:numPr>
          <w:ilvl w:val="0"/>
          <w:numId w:val="4"/>
        </w:numPr>
        <w:spacing w:before="100" w:beforeAutospacing="1" w:after="100" w:afterAutospacing="1"/>
        <w:ind w:left="562" w:hanging="562"/>
        <w:rPr>
          <w:sz w:val="24"/>
          <w:lang w:eastAsia="ar-SA"/>
        </w:rPr>
      </w:pPr>
      <w:bookmarkStart w:id="9" w:name="_Ref450583331"/>
      <w:bookmarkStart w:id="10" w:name="_Ref430766234"/>
      <w:bookmarkEnd w:id="9"/>
      <w:r w:rsidRPr="0007631D">
        <w:rPr>
          <w:sz w:val="24"/>
          <w:lang w:eastAsia="ar-SA"/>
        </w:rPr>
        <w:t>R1-160671, New SID Proposal: Study on New Radio Access Technology</w:t>
      </w:r>
      <w:bookmarkEnd w:id="10"/>
      <w:r w:rsidRPr="0007631D">
        <w:rPr>
          <w:sz w:val="24"/>
          <w:lang w:eastAsia="ar-SA"/>
        </w:rPr>
        <w:t xml:space="preserve"> </w:t>
      </w:r>
    </w:p>
    <w:p w14:paraId="2FFDF318" w14:textId="5AE89F40" w:rsidR="00A411A6" w:rsidRPr="0007631D" w:rsidRDefault="00A411A6" w:rsidP="00754D51">
      <w:pPr>
        <w:numPr>
          <w:ilvl w:val="0"/>
          <w:numId w:val="4"/>
        </w:numPr>
        <w:spacing w:before="100" w:beforeAutospacing="1" w:after="100" w:afterAutospacing="1"/>
        <w:ind w:left="562" w:hanging="562"/>
        <w:rPr>
          <w:sz w:val="24"/>
          <w:lang w:eastAsia="ar-SA"/>
        </w:rPr>
      </w:pPr>
      <w:r w:rsidRPr="0007631D">
        <w:rPr>
          <w:sz w:val="24"/>
          <w:lang w:eastAsia="ar-SA"/>
        </w:rPr>
        <w:t>RAN1-87, chairman’s notes</w:t>
      </w:r>
    </w:p>
    <w:p w14:paraId="226C2B33" w14:textId="387B20F9" w:rsidR="00E2036F" w:rsidRPr="0007631D" w:rsidRDefault="00E2036F" w:rsidP="00754D51">
      <w:pPr>
        <w:pStyle w:val="Reference"/>
        <w:keepLines w:val="0"/>
        <w:numPr>
          <w:ilvl w:val="0"/>
          <w:numId w:val="4"/>
        </w:numPr>
        <w:suppressAutoHyphens w:val="0"/>
        <w:overflowPunct/>
        <w:autoSpaceDE/>
        <w:spacing w:after="0" w:line="259" w:lineRule="auto"/>
        <w:textAlignment w:val="auto"/>
        <w:rPr>
          <w:sz w:val="24"/>
        </w:rPr>
      </w:pPr>
      <w:r w:rsidRPr="0007631D">
        <w:rPr>
          <w:sz w:val="24"/>
        </w:rPr>
        <w:t xml:space="preserve">R1-166360, “URLLC numerology and frame structure design”, </w:t>
      </w:r>
      <w:r w:rsidR="00B8103A" w:rsidRPr="0007631D">
        <w:rPr>
          <w:sz w:val="24"/>
        </w:rPr>
        <w:t>Qualcomm, 3GPP TSG-RAN WG1 #86</w:t>
      </w:r>
    </w:p>
    <w:p w14:paraId="2B2BA8B6" w14:textId="31183FED" w:rsidR="00215D88" w:rsidRPr="0007631D" w:rsidRDefault="00E2036F" w:rsidP="00754D51">
      <w:pPr>
        <w:pStyle w:val="Reference"/>
        <w:keepLines w:val="0"/>
        <w:numPr>
          <w:ilvl w:val="0"/>
          <w:numId w:val="4"/>
        </w:numPr>
        <w:suppressAutoHyphens w:val="0"/>
        <w:overflowPunct/>
        <w:autoSpaceDE/>
        <w:spacing w:after="0" w:line="259" w:lineRule="auto"/>
        <w:textAlignment w:val="auto"/>
        <w:rPr>
          <w:sz w:val="24"/>
        </w:rPr>
      </w:pPr>
      <w:bookmarkStart w:id="11" w:name="OLE_LINK22"/>
      <w:bookmarkStart w:id="12" w:name="OLE_LINK23"/>
      <w:r w:rsidRPr="0007631D">
        <w:rPr>
          <w:sz w:val="24"/>
        </w:rPr>
        <w:t>R1-1612014, “Mini-slot design fo</w:t>
      </w:r>
      <w:r w:rsidR="00B8103A" w:rsidRPr="0007631D">
        <w:rPr>
          <w:sz w:val="24"/>
        </w:rPr>
        <w:t>r URLLC”, Qualcomm , 3GPP TSG-RAN WG1 #87</w:t>
      </w:r>
    </w:p>
    <w:bookmarkEnd w:id="11"/>
    <w:bookmarkEnd w:id="12"/>
    <w:p w14:paraId="44D16888" w14:textId="3B198D08" w:rsidR="00FE3F67" w:rsidRPr="0007631D" w:rsidRDefault="00215D88" w:rsidP="00754D51">
      <w:pPr>
        <w:pStyle w:val="Reference"/>
        <w:keepLines w:val="0"/>
        <w:numPr>
          <w:ilvl w:val="0"/>
          <w:numId w:val="4"/>
        </w:numPr>
        <w:suppressAutoHyphens w:val="0"/>
        <w:overflowPunct/>
        <w:autoSpaceDE/>
        <w:spacing w:after="0" w:line="259" w:lineRule="auto"/>
        <w:textAlignment w:val="auto"/>
        <w:rPr>
          <w:sz w:val="24"/>
        </w:rPr>
      </w:pPr>
      <w:r w:rsidRPr="0007631D">
        <w:rPr>
          <w:sz w:val="24"/>
        </w:rPr>
        <w:t xml:space="preserve"> R1-1700828</w:t>
      </w:r>
      <w:r w:rsidR="00FE3F67" w:rsidRPr="0007631D">
        <w:rPr>
          <w:sz w:val="24"/>
        </w:rPr>
        <w:t>, “Simultaneous scheduling request and data transmission for uplink URLLC</w:t>
      </w:r>
      <w:r w:rsidRPr="0007631D">
        <w:rPr>
          <w:sz w:val="24"/>
        </w:rPr>
        <w:t>”, Qualcomm, 3GPP TSG-RAN WG1 NR Ad-hoc</w:t>
      </w:r>
      <w:r w:rsidR="00FE3F67" w:rsidRPr="0007631D">
        <w:rPr>
          <w:sz w:val="24"/>
        </w:rPr>
        <w:t xml:space="preserve">, </w:t>
      </w:r>
      <w:r w:rsidRPr="0007631D">
        <w:rPr>
          <w:sz w:val="24"/>
        </w:rPr>
        <w:t>Spokane, Washington, USA</w:t>
      </w:r>
      <w:r w:rsidRPr="0007631D">
        <w:rPr>
          <w:b/>
          <w:sz w:val="24"/>
          <w:szCs w:val="24"/>
        </w:rPr>
        <w:t xml:space="preserve"> </w:t>
      </w:r>
    </w:p>
    <w:p w14:paraId="1F7ED88F" w14:textId="36F9C69A" w:rsidR="00606140" w:rsidRPr="0007631D" w:rsidRDefault="00606140" w:rsidP="00754D51">
      <w:pPr>
        <w:pStyle w:val="Reference"/>
        <w:keepLines w:val="0"/>
        <w:numPr>
          <w:ilvl w:val="0"/>
          <w:numId w:val="4"/>
        </w:numPr>
        <w:suppressAutoHyphens w:val="0"/>
        <w:overflowPunct/>
        <w:autoSpaceDE/>
        <w:spacing w:after="0" w:line="259" w:lineRule="auto"/>
        <w:textAlignment w:val="auto"/>
        <w:rPr>
          <w:sz w:val="24"/>
        </w:rPr>
      </w:pPr>
      <w:r w:rsidRPr="0007631D">
        <w:rPr>
          <w:sz w:val="24"/>
        </w:rPr>
        <w:t>R1-700827, “URLLC/eMBB downlink dynamic multiplexing schemes”, Qualcomm , 3GPP TSG-RAN WG1 #87</w:t>
      </w:r>
    </w:p>
    <w:p w14:paraId="5BDF2E78" w14:textId="2B35E18D" w:rsidR="000F5CE2" w:rsidRPr="0007631D" w:rsidRDefault="000F5CE2" w:rsidP="000F5CE2">
      <w:pPr>
        <w:pStyle w:val="Reference"/>
        <w:keepLines w:val="0"/>
        <w:tabs>
          <w:tab w:val="clear" w:pos="360"/>
        </w:tabs>
        <w:suppressAutoHyphens w:val="0"/>
        <w:overflowPunct/>
        <w:autoSpaceDE/>
        <w:spacing w:after="0" w:line="259" w:lineRule="auto"/>
        <w:ind w:left="567"/>
        <w:textAlignment w:val="auto"/>
        <w:rPr>
          <w:sz w:val="24"/>
        </w:rPr>
      </w:pPr>
    </w:p>
    <w:p w14:paraId="4F739097" w14:textId="77777777" w:rsidR="00606140" w:rsidRPr="0007631D" w:rsidRDefault="00606140" w:rsidP="00606140">
      <w:pPr>
        <w:pStyle w:val="Reference"/>
        <w:keepLines w:val="0"/>
        <w:tabs>
          <w:tab w:val="clear" w:pos="360"/>
        </w:tabs>
        <w:suppressAutoHyphens w:val="0"/>
        <w:overflowPunct/>
        <w:autoSpaceDE/>
        <w:spacing w:after="0" w:line="259" w:lineRule="auto"/>
        <w:ind w:left="567"/>
        <w:textAlignment w:val="auto"/>
        <w:rPr>
          <w:sz w:val="24"/>
        </w:rPr>
      </w:pPr>
    </w:p>
    <w:p w14:paraId="50A2D74C" w14:textId="76F64FC8" w:rsidR="00D00698" w:rsidRPr="0007631D" w:rsidRDefault="00D00698" w:rsidP="00B86B41">
      <w:pPr>
        <w:spacing w:before="100" w:beforeAutospacing="1" w:after="100" w:afterAutospacing="1"/>
        <w:ind w:left="562"/>
        <w:rPr>
          <w:sz w:val="24"/>
          <w:szCs w:val="24"/>
        </w:rPr>
      </w:pPr>
    </w:p>
    <w:sectPr w:rsidR="00D00698" w:rsidRPr="0007631D"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67110" w14:textId="77777777" w:rsidR="009503E5" w:rsidRDefault="009503E5">
      <w:r>
        <w:separator/>
      </w:r>
    </w:p>
  </w:endnote>
  <w:endnote w:type="continuationSeparator" w:id="0">
    <w:p w14:paraId="4CA9A83D" w14:textId="77777777" w:rsidR="009503E5" w:rsidRDefault="009503E5">
      <w:r>
        <w:continuationSeparator/>
      </w:r>
    </w:p>
  </w:endnote>
  <w:endnote w:type="continuationNotice" w:id="1">
    <w:p w14:paraId="020BE7E1" w14:textId="77777777" w:rsidR="009503E5" w:rsidRDefault="009503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9503E5" w:rsidRDefault="009503E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9503E5" w:rsidRDefault="009503E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65EC6A1C" w:rsidR="009503E5" w:rsidRDefault="009503E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62273">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2273">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4FE43" w14:textId="77777777" w:rsidR="009503E5" w:rsidRDefault="009503E5">
      <w:r>
        <w:separator/>
      </w:r>
    </w:p>
  </w:footnote>
  <w:footnote w:type="continuationSeparator" w:id="0">
    <w:p w14:paraId="2EE96936" w14:textId="77777777" w:rsidR="009503E5" w:rsidRDefault="009503E5">
      <w:r>
        <w:continuationSeparator/>
      </w:r>
    </w:p>
  </w:footnote>
  <w:footnote w:type="continuationNotice" w:id="1">
    <w:p w14:paraId="0D032FC6" w14:textId="77777777" w:rsidR="009503E5" w:rsidRDefault="009503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9503E5" w:rsidRDefault="009503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E37CC3"/>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E290035"/>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1"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3"/>
  </w:num>
  <w:num w:numId="3">
    <w:abstractNumId w:val="8"/>
    <w:lvlOverride w:ilvl="0">
      <w:startOverride w:val="1"/>
    </w:lvlOverride>
  </w:num>
  <w:num w:numId="4">
    <w:abstractNumId w:val="0"/>
  </w:num>
  <w:num w:numId="5">
    <w:abstractNumId w:val="1"/>
  </w:num>
  <w:num w:numId="6">
    <w:abstractNumId w:val="12"/>
  </w:num>
  <w:num w:numId="7">
    <w:abstractNumId w:val="13"/>
  </w:num>
  <w:num w:numId="8">
    <w:abstractNumId w:val="7"/>
  </w:num>
  <w:num w:numId="9">
    <w:abstractNumId w:val="10"/>
  </w:num>
  <w:num w:numId="10">
    <w:abstractNumId w:val="11"/>
  </w:num>
  <w:num w:numId="11">
    <w:abstractNumId w:val="5"/>
  </w:num>
  <w:num w:numId="12">
    <w:abstractNumId w:val="9"/>
  </w:num>
  <w:num w:numId="13">
    <w:abstractNumId w:val="4"/>
  </w:num>
  <w:num w:numId="14">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E0"/>
    <w:rsid w:val="0000270A"/>
    <w:rsid w:val="00002A8E"/>
    <w:rsid w:val="00003131"/>
    <w:rsid w:val="000037FB"/>
    <w:rsid w:val="00003EF4"/>
    <w:rsid w:val="0000403F"/>
    <w:rsid w:val="00004851"/>
    <w:rsid w:val="00004885"/>
    <w:rsid w:val="00004D8C"/>
    <w:rsid w:val="00004DCB"/>
    <w:rsid w:val="000051F0"/>
    <w:rsid w:val="0000553B"/>
    <w:rsid w:val="000063BC"/>
    <w:rsid w:val="00006780"/>
    <w:rsid w:val="00006C7A"/>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7BA"/>
    <w:rsid w:val="00013B63"/>
    <w:rsid w:val="00013F64"/>
    <w:rsid w:val="000141F0"/>
    <w:rsid w:val="00014E0E"/>
    <w:rsid w:val="00015BCB"/>
    <w:rsid w:val="00015CED"/>
    <w:rsid w:val="000162B2"/>
    <w:rsid w:val="0001638C"/>
    <w:rsid w:val="0001645D"/>
    <w:rsid w:val="000164BB"/>
    <w:rsid w:val="000167A6"/>
    <w:rsid w:val="00016DCE"/>
    <w:rsid w:val="00017309"/>
    <w:rsid w:val="00017481"/>
    <w:rsid w:val="0002002A"/>
    <w:rsid w:val="000205C1"/>
    <w:rsid w:val="000207DF"/>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201C"/>
    <w:rsid w:val="000522CE"/>
    <w:rsid w:val="0005241E"/>
    <w:rsid w:val="0005291A"/>
    <w:rsid w:val="00052AE3"/>
    <w:rsid w:val="000531A8"/>
    <w:rsid w:val="000532C1"/>
    <w:rsid w:val="00053849"/>
    <w:rsid w:val="00053A47"/>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B42"/>
    <w:rsid w:val="00057DF9"/>
    <w:rsid w:val="00057F68"/>
    <w:rsid w:val="00057F6C"/>
    <w:rsid w:val="00060586"/>
    <w:rsid w:val="0006090A"/>
    <w:rsid w:val="00060FDB"/>
    <w:rsid w:val="000612C5"/>
    <w:rsid w:val="000613C1"/>
    <w:rsid w:val="000616E1"/>
    <w:rsid w:val="00061BDC"/>
    <w:rsid w:val="00061D2A"/>
    <w:rsid w:val="000621A9"/>
    <w:rsid w:val="0006263A"/>
    <w:rsid w:val="00062C7E"/>
    <w:rsid w:val="00062D9A"/>
    <w:rsid w:val="000631CE"/>
    <w:rsid w:val="00063485"/>
    <w:rsid w:val="00063F57"/>
    <w:rsid w:val="0006446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FE2"/>
    <w:rsid w:val="00070192"/>
    <w:rsid w:val="0007020C"/>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C6C"/>
    <w:rsid w:val="00077073"/>
    <w:rsid w:val="0008022A"/>
    <w:rsid w:val="00080418"/>
    <w:rsid w:val="000805B2"/>
    <w:rsid w:val="00080D74"/>
    <w:rsid w:val="00081383"/>
    <w:rsid w:val="000826FF"/>
    <w:rsid w:val="00082A49"/>
    <w:rsid w:val="00082C90"/>
    <w:rsid w:val="000832D0"/>
    <w:rsid w:val="00083322"/>
    <w:rsid w:val="00083559"/>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BBF"/>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32D4"/>
    <w:rsid w:val="000B38DA"/>
    <w:rsid w:val="000B3F37"/>
    <w:rsid w:val="000B4788"/>
    <w:rsid w:val="000B49D7"/>
    <w:rsid w:val="000B546F"/>
    <w:rsid w:val="000B5589"/>
    <w:rsid w:val="000B6030"/>
    <w:rsid w:val="000B65BE"/>
    <w:rsid w:val="000B6BDF"/>
    <w:rsid w:val="000B71B6"/>
    <w:rsid w:val="000B7B2B"/>
    <w:rsid w:val="000B7D5E"/>
    <w:rsid w:val="000C0094"/>
    <w:rsid w:val="000C10EC"/>
    <w:rsid w:val="000C133A"/>
    <w:rsid w:val="000C1545"/>
    <w:rsid w:val="000C1DBD"/>
    <w:rsid w:val="000C240A"/>
    <w:rsid w:val="000C2641"/>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D0153"/>
    <w:rsid w:val="000D037E"/>
    <w:rsid w:val="000D0A0F"/>
    <w:rsid w:val="000D0AB8"/>
    <w:rsid w:val="000D0BCC"/>
    <w:rsid w:val="000D0F9A"/>
    <w:rsid w:val="000D10A8"/>
    <w:rsid w:val="000D1124"/>
    <w:rsid w:val="000D148D"/>
    <w:rsid w:val="000D14EB"/>
    <w:rsid w:val="000D1610"/>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5830"/>
    <w:rsid w:val="000E5C07"/>
    <w:rsid w:val="000E5C4E"/>
    <w:rsid w:val="000E5CA5"/>
    <w:rsid w:val="000E5E3A"/>
    <w:rsid w:val="000E65A7"/>
    <w:rsid w:val="000E6635"/>
    <w:rsid w:val="000E6BAF"/>
    <w:rsid w:val="000E6EED"/>
    <w:rsid w:val="000E6F62"/>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2B4"/>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6008F"/>
    <w:rsid w:val="0016019C"/>
    <w:rsid w:val="001601C7"/>
    <w:rsid w:val="001602C2"/>
    <w:rsid w:val="00160674"/>
    <w:rsid w:val="00160786"/>
    <w:rsid w:val="00161094"/>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9E1"/>
    <w:rsid w:val="00172B61"/>
    <w:rsid w:val="00172C20"/>
    <w:rsid w:val="00173308"/>
    <w:rsid w:val="001734AF"/>
    <w:rsid w:val="001738A5"/>
    <w:rsid w:val="00173A00"/>
    <w:rsid w:val="00173D38"/>
    <w:rsid w:val="00174DDB"/>
    <w:rsid w:val="00175009"/>
    <w:rsid w:val="00175187"/>
    <w:rsid w:val="001751E9"/>
    <w:rsid w:val="001752EC"/>
    <w:rsid w:val="0017548A"/>
    <w:rsid w:val="00175B5A"/>
    <w:rsid w:val="00175EF2"/>
    <w:rsid w:val="00176414"/>
    <w:rsid w:val="00176BDB"/>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754"/>
    <w:rsid w:val="001B3A10"/>
    <w:rsid w:val="001B4371"/>
    <w:rsid w:val="001B5058"/>
    <w:rsid w:val="001B5332"/>
    <w:rsid w:val="001B54E9"/>
    <w:rsid w:val="001B55DE"/>
    <w:rsid w:val="001B70CF"/>
    <w:rsid w:val="001B748B"/>
    <w:rsid w:val="001B7700"/>
    <w:rsid w:val="001B7712"/>
    <w:rsid w:val="001B7905"/>
    <w:rsid w:val="001B7F92"/>
    <w:rsid w:val="001C0085"/>
    <w:rsid w:val="001C063F"/>
    <w:rsid w:val="001C0874"/>
    <w:rsid w:val="001C0883"/>
    <w:rsid w:val="001C090F"/>
    <w:rsid w:val="001C1544"/>
    <w:rsid w:val="001C16A9"/>
    <w:rsid w:val="001C19EB"/>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F88"/>
    <w:rsid w:val="001C6182"/>
    <w:rsid w:val="001C619C"/>
    <w:rsid w:val="001C62D8"/>
    <w:rsid w:val="001C66D2"/>
    <w:rsid w:val="001C7374"/>
    <w:rsid w:val="001C7F47"/>
    <w:rsid w:val="001D006C"/>
    <w:rsid w:val="001D056C"/>
    <w:rsid w:val="001D0578"/>
    <w:rsid w:val="001D0593"/>
    <w:rsid w:val="001D1258"/>
    <w:rsid w:val="001D125F"/>
    <w:rsid w:val="001D19F8"/>
    <w:rsid w:val="001D1CFF"/>
    <w:rsid w:val="001D2B3C"/>
    <w:rsid w:val="001D2B70"/>
    <w:rsid w:val="001D2E6C"/>
    <w:rsid w:val="001D35DC"/>
    <w:rsid w:val="001D43C0"/>
    <w:rsid w:val="001D448E"/>
    <w:rsid w:val="001D4679"/>
    <w:rsid w:val="001D4969"/>
    <w:rsid w:val="001D4AF0"/>
    <w:rsid w:val="001D4F24"/>
    <w:rsid w:val="001D506F"/>
    <w:rsid w:val="001D57BC"/>
    <w:rsid w:val="001D6BC7"/>
    <w:rsid w:val="001D6E61"/>
    <w:rsid w:val="001D6F30"/>
    <w:rsid w:val="001D7052"/>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5BB2"/>
    <w:rsid w:val="001E5D1F"/>
    <w:rsid w:val="001E6313"/>
    <w:rsid w:val="001E6870"/>
    <w:rsid w:val="001E6BDA"/>
    <w:rsid w:val="001E6C1B"/>
    <w:rsid w:val="001E719A"/>
    <w:rsid w:val="001E750C"/>
    <w:rsid w:val="001E7A8F"/>
    <w:rsid w:val="001F020C"/>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9AB"/>
    <w:rsid w:val="001F45E8"/>
    <w:rsid w:val="001F4E57"/>
    <w:rsid w:val="001F53A2"/>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7DF"/>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75C"/>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4AF7"/>
    <w:rsid w:val="0024520E"/>
    <w:rsid w:val="0024530E"/>
    <w:rsid w:val="00245477"/>
    <w:rsid w:val="00245492"/>
    <w:rsid w:val="00245A41"/>
    <w:rsid w:val="00245B70"/>
    <w:rsid w:val="00245D7D"/>
    <w:rsid w:val="00245E39"/>
    <w:rsid w:val="00245FBA"/>
    <w:rsid w:val="00246349"/>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3D9"/>
    <w:rsid w:val="00256A5E"/>
    <w:rsid w:val="00256B22"/>
    <w:rsid w:val="00256D51"/>
    <w:rsid w:val="00256F02"/>
    <w:rsid w:val="002571C8"/>
    <w:rsid w:val="002572F1"/>
    <w:rsid w:val="00257429"/>
    <w:rsid w:val="00257A62"/>
    <w:rsid w:val="00260156"/>
    <w:rsid w:val="0026075E"/>
    <w:rsid w:val="002608BD"/>
    <w:rsid w:val="00260FAD"/>
    <w:rsid w:val="002617F6"/>
    <w:rsid w:val="00261D05"/>
    <w:rsid w:val="00261E27"/>
    <w:rsid w:val="002623AC"/>
    <w:rsid w:val="00262979"/>
    <w:rsid w:val="00263038"/>
    <w:rsid w:val="002631DC"/>
    <w:rsid w:val="0026382D"/>
    <w:rsid w:val="0026385F"/>
    <w:rsid w:val="00263BDB"/>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C60"/>
    <w:rsid w:val="00272D06"/>
    <w:rsid w:val="00272FEB"/>
    <w:rsid w:val="00273644"/>
    <w:rsid w:val="002738C9"/>
    <w:rsid w:val="00273B2D"/>
    <w:rsid w:val="00273CFB"/>
    <w:rsid w:val="00273DFF"/>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B19"/>
    <w:rsid w:val="00277E66"/>
    <w:rsid w:val="002801E2"/>
    <w:rsid w:val="00280612"/>
    <w:rsid w:val="0028073A"/>
    <w:rsid w:val="00280960"/>
    <w:rsid w:val="00280B4A"/>
    <w:rsid w:val="0028168F"/>
    <w:rsid w:val="002825CE"/>
    <w:rsid w:val="00282FF4"/>
    <w:rsid w:val="00283165"/>
    <w:rsid w:val="002832E7"/>
    <w:rsid w:val="00283706"/>
    <w:rsid w:val="00283BAA"/>
    <w:rsid w:val="00283C29"/>
    <w:rsid w:val="00284E7F"/>
    <w:rsid w:val="0028550D"/>
    <w:rsid w:val="00285520"/>
    <w:rsid w:val="00285894"/>
    <w:rsid w:val="00285C1F"/>
    <w:rsid w:val="00285E28"/>
    <w:rsid w:val="00286631"/>
    <w:rsid w:val="00286F76"/>
    <w:rsid w:val="002872E8"/>
    <w:rsid w:val="00287376"/>
    <w:rsid w:val="0028775F"/>
    <w:rsid w:val="002877DE"/>
    <w:rsid w:val="00287C28"/>
    <w:rsid w:val="00287C39"/>
    <w:rsid w:val="00290254"/>
    <w:rsid w:val="00290B2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1A57"/>
    <w:rsid w:val="002A1DA1"/>
    <w:rsid w:val="002A205B"/>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AFA"/>
    <w:rsid w:val="002B21D6"/>
    <w:rsid w:val="002B2C92"/>
    <w:rsid w:val="002B3081"/>
    <w:rsid w:val="002B318B"/>
    <w:rsid w:val="002B32BC"/>
    <w:rsid w:val="002B33DC"/>
    <w:rsid w:val="002B340B"/>
    <w:rsid w:val="002B34AE"/>
    <w:rsid w:val="002B3D90"/>
    <w:rsid w:val="002B453B"/>
    <w:rsid w:val="002B4C39"/>
    <w:rsid w:val="002B5D6B"/>
    <w:rsid w:val="002B601A"/>
    <w:rsid w:val="002B61F1"/>
    <w:rsid w:val="002B64FE"/>
    <w:rsid w:val="002B694E"/>
    <w:rsid w:val="002B6D31"/>
    <w:rsid w:val="002B7540"/>
    <w:rsid w:val="002B7D56"/>
    <w:rsid w:val="002C04C2"/>
    <w:rsid w:val="002C0818"/>
    <w:rsid w:val="002C0A1D"/>
    <w:rsid w:val="002C0D11"/>
    <w:rsid w:val="002C1468"/>
    <w:rsid w:val="002C162E"/>
    <w:rsid w:val="002C1B17"/>
    <w:rsid w:val="002C203A"/>
    <w:rsid w:val="002C2AE9"/>
    <w:rsid w:val="002C2B29"/>
    <w:rsid w:val="002C2E8A"/>
    <w:rsid w:val="002C2FCD"/>
    <w:rsid w:val="002C369F"/>
    <w:rsid w:val="002C3AE4"/>
    <w:rsid w:val="002C3E89"/>
    <w:rsid w:val="002C42AA"/>
    <w:rsid w:val="002C4AF6"/>
    <w:rsid w:val="002C4F7C"/>
    <w:rsid w:val="002C5236"/>
    <w:rsid w:val="002C5533"/>
    <w:rsid w:val="002C5620"/>
    <w:rsid w:val="002C5A6B"/>
    <w:rsid w:val="002C61E0"/>
    <w:rsid w:val="002C640C"/>
    <w:rsid w:val="002C64DE"/>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258"/>
    <w:rsid w:val="002D13B7"/>
    <w:rsid w:val="002D2B4E"/>
    <w:rsid w:val="002D2B91"/>
    <w:rsid w:val="002D3968"/>
    <w:rsid w:val="002D425A"/>
    <w:rsid w:val="002D4314"/>
    <w:rsid w:val="002D4A54"/>
    <w:rsid w:val="002D4BF4"/>
    <w:rsid w:val="002D4C49"/>
    <w:rsid w:val="002D4E37"/>
    <w:rsid w:val="002D52E0"/>
    <w:rsid w:val="002D5DEA"/>
    <w:rsid w:val="002D6127"/>
    <w:rsid w:val="002D61BE"/>
    <w:rsid w:val="002D621B"/>
    <w:rsid w:val="002D6497"/>
    <w:rsid w:val="002D7235"/>
    <w:rsid w:val="002D76E8"/>
    <w:rsid w:val="002E0E94"/>
    <w:rsid w:val="002E15A5"/>
    <w:rsid w:val="002E16BC"/>
    <w:rsid w:val="002E2098"/>
    <w:rsid w:val="002E22BC"/>
    <w:rsid w:val="002E25D2"/>
    <w:rsid w:val="002E2738"/>
    <w:rsid w:val="002E2923"/>
    <w:rsid w:val="002E2A76"/>
    <w:rsid w:val="002E306D"/>
    <w:rsid w:val="002E3653"/>
    <w:rsid w:val="002E38B7"/>
    <w:rsid w:val="002E4301"/>
    <w:rsid w:val="002E4D3C"/>
    <w:rsid w:val="002E58E1"/>
    <w:rsid w:val="002E5BDD"/>
    <w:rsid w:val="002E5C56"/>
    <w:rsid w:val="002E5C6E"/>
    <w:rsid w:val="002E5D86"/>
    <w:rsid w:val="002E5DD7"/>
    <w:rsid w:val="002E6809"/>
    <w:rsid w:val="002F0045"/>
    <w:rsid w:val="002F00F0"/>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0FD2"/>
    <w:rsid w:val="00311642"/>
    <w:rsid w:val="00311761"/>
    <w:rsid w:val="00311941"/>
    <w:rsid w:val="00312709"/>
    <w:rsid w:val="00313765"/>
    <w:rsid w:val="003137A0"/>
    <w:rsid w:val="00313BC1"/>
    <w:rsid w:val="00313C4F"/>
    <w:rsid w:val="003141C2"/>
    <w:rsid w:val="00314CBB"/>
    <w:rsid w:val="0031599D"/>
    <w:rsid w:val="00315EB9"/>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1F33"/>
    <w:rsid w:val="00322219"/>
    <w:rsid w:val="00322BC3"/>
    <w:rsid w:val="00322C2B"/>
    <w:rsid w:val="00322E3B"/>
    <w:rsid w:val="00323123"/>
    <w:rsid w:val="00323A78"/>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C30"/>
    <w:rsid w:val="00330DE8"/>
    <w:rsid w:val="0033198A"/>
    <w:rsid w:val="00332056"/>
    <w:rsid w:val="003321C3"/>
    <w:rsid w:val="0033241A"/>
    <w:rsid w:val="00332962"/>
    <w:rsid w:val="0033451A"/>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30E"/>
    <w:rsid w:val="0034246D"/>
    <w:rsid w:val="0034305B"/>
    <w:rsid w:val="0034324F"/>
    <w:rsid w:val="00343A58"/>
    <w:rsid w:val="00343C24"/>
    <w:rsid w:val="00343FA6"/>
    <w:rsid w:val="00344725"/>
    <w:rsid w:val="00344901"/>
    <w:rsid w:val="0034511B"/>
    <w:rsid w:val="0034745C"/>
    <w:rsid w:val="003474CD"/>
    <w:rsid w:val="0034796F"/>
    <w:rsid w:val="003479B6"/>
    <w:rsid w:val="00347C47"/>
    <w:rsid w:val="0035017E"/>
    <w:rsid w:val="0035025F"/>
    <w:rsid w:val="0035041A"/>
    <w:rsid w:val="003505AD"/>
    <w:rsid w:val="00350631"/>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227D"/>
    <w:rsid w:val="0036262C"/>
    <w:rsid w:val="00362C5A"/>
    <w:rsid w:val="00363539"/>
    <w:rsid w:val="003635B6"/>
    <w:rsid w:val="00363C06"/>
    <w:rsid w:val="00363FC9"/>
    <w:rsid w:val="00365023"/>
    <w:rsid w:val="00365644"/>
    <w:rsid w:val="0036590C"/>
    <w:rsid w:val="00365B66"/>
    <w:rsid w:val="003665C5"/>
    <w:rsid w:val="00366B3A"/>
    <w:rsid w:val="00367606"/>
    <w:rsid w:val="00370285"/>
    <w:rsid w:val="00370499"/>
    <w:rsid w:val="003704EE"/>
    <w:rsid w:val="00370880"/>
    <w:rsid w:val="00370EFD"/>
    <w:rsid w:val="00371137"/>
    <w:rsid w:val="003719F5"/>
    <w:rsid w:val="00372019"/>
    <w:rsid w:val="00372029"/>
    <w:rsid w:val="003721E8"/>
    <w:rsid w:val="003724A1"/>
    <w:rsid w:val="00372A6B"/>
    <w:rsid w:val="003738A3"/>
    <w:rsid w:val="00373B3C"/>
    <w:rsid w:val="00373E10"/>
    <w:rsid w:val="00373F2C"/>
    <w:rsid w:val="0037406C"/>
    <w:rsid w:val="003741D2"/>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397"/>
    <w:rsid w:val="0037757C"/>
    <w:rsid w:val="003775BD"/>
    <w:rsid w:val="00380543"/>
    <w:rsid w:val="00380602"/>
    <w:rsid w:val="00380775"/>
    <w:rsid w:val="00380892"/>
    <w:rsid w:val="00380BBD"/>
    <w:rsid w:val="00381E76"/>
    <w:rsid w:val="003821E7"/>
    <w:rsid w:val="00382903"/>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B5C"/>
    <w:rsid w:val="003A1DD5"/>
    <w:rsid w:val="003A1FCC"/>
    <w:rsid w:val="003A2019"/>
    <w:rsid w:val="003A22FA"/>
    <w:rsid w:val="003A2602"/>
    <w:rsid w:val="003A2D39"/>
    <w:rsid w:val="003A2FE7"/>
    <w:rsid w:val="003A305A"/>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1042"/>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2C9D"/>
    <w:rsid w:val="003C3498"/>
    <w:rsid w:val="003C3B73"/>
    <w:rsid w:val="003C3D6E"/>
    <w:rsid w:val="003C3F8B"/>
    <w:rsid w:val="003C4213"/>
    <w:rsid w:val="003C4250"/>
    <w:rsid w:val="003C44DB"/>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AC"/>
    <w:rsid w:val="003D2339"/>
    <w:rsid w:val="003D24B7"/>
    <w:rsid w:val="003D26AA"/>
    <w:rsid w:val="003D2E43"/>
    <w:rsid w:val="003D3B88"/>
    <w:rsid w:val="003D3EE3"/>
    <w:rsid w:val="003D410B"/>
    <w:rsid w:val="003D4350"/>
    <w:rsid w:val="003D4409"/>
    <w:rsid w:val="003D4C42"/>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395B"/>
    <w:rsid w:val="003F4789"/>
    <w:rsid w:val="003F4933"/>
    <w:rsid w:val="003F4977"/>
    <w:rsid w:val="003F4A21"/>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27"/>
    <w:rsid w:val="00400615"/>
    <w:rsid w:val="00400D86"/>
    <w:rsid w:val="004010EF"/>
    <w:rsid w:val="004017C6"/>
    <w:rsid w:val="00401EE0"/>
    <w:rsid w:val="00401EE4"/>
    <w:rsid w:val="004021B5"/>
    <w:rsid w:val="004024AB"/>
    <w:rsid w:val="00402DC4"/>
    <w:rsid w:val="00402F2C"/>
    <w:rsid w:val="0040303D"/>
    <w:rsid w:val="0040379F"/>
    <w:rsid w:val="00403805"/>
    <w:rsid w:val="00403F25"/>
    <w:rsid w:val="00404011"/>
    <w:rsid w:val="0040495B"/>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DC9"/>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060"/>
    <w:rsid w:val="00420126"/>
    <w:rsid w:val="00420249"/>
    <w:rsid w:val="00420391"/>
    <w:rsid w:val="004203CF"/>
    <w:rsid w:val="004204CB"/>
    <w:rsid w:val="00420755"/>
    <w:rsid w:val="00420CB7"/>
    <w:rsid w:val="004213C2"/>
    <w:rsid w:val="004213E8"/>
    <w:rsid w:val="0042156E"/>
    <w:rsid w:val="00421661"/>
    <w:rsid w:val="004222BF"/>
    <w:rsid w:val="004224D6"/>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3ED"/>
    <w:rsid w:val="004276E3"/>
    <w:rsid w:val="00427B9D"/>
    <w:rsid w:val="00427BFB"/>
    <w:rsid w:val="00427E67"/>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5248"/>
    <w:rsid w:val="0043542F"/>
    <w:rsid w:val="004355EB"/>
    <w:rsid w:val="00435602"/>
    <w:rsid w:val="004356FA"/>
    <w:rsid w:val="004358F4"/>
    <w:rsid w:val="00435A15"/>
    <w:rsid w:val="00435CCF"/>
    <w:rsid w:val="0043604F"/>
    <w:rsid w:val="00436696"/>
    <w:rsid w:val="00436A3B"/>
    <w:rsid w:val="004371AB"/>
    <w:rsid w:val="00437895"/>
    <w:rsid w:val="00437E77"/>
    <w:rsid w:val="004402A7"/>
    <w:rsid w:val="0044035D"/>
    <w:rsid w:val="00440850"/>
    <w:rsid w:val="00440EA5"/>
    <w:rsid w:val="0044142F"/>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8FA"/>
    <w:rsid w:val="004479DF"/>
    <w:rsid w:val="00447B85"/>
    <w:rsid w:val="00450778"/>
    <w:rsid w:val="00450D3B"/>
    <w:rsid w:val="004512E6"/>
    <w:rsid w:val="0045169D"/>
    <w:rsid w:val="004518D5"/>
    <w:rsid w:val="00451B06"/>
    <w:rsid w:val="00451BEB"/>
    <w:rsid w:val="004520FE"/>
    <w:rsid w:val="004527C0"/>
    <w:rsid w:val="004535C6"/>
    <w:rsid w:val="00453871"/>
    <w:rsid w:val="00453DEF"/>
    <w:rsid w:val="004543E4"/>
    <w:rsid w:val="004548E5"/>
    <w:rsid w:val="00454ACD"/>
    <w:rsid w:val="00454F08"/>
    <w:rsid w:val="00454F85"/>
    <w:rsid w:val="00455105"/>
    <w:rsid w:val="004551C3"/>
    <w:rsid w:val="00455E20"/>
    <w:rsid w:val="00455E21"/>
    <w:rsid w:val="00456104"/>
    <w:rsid w:val="00456114"/>
    <w:rsid w:val="0045623E"/>
    <w:rsid w:val="00456971"/>
    <w:rsid w:val="00456AC1"/>
    <w:rsid w:val="00456AC7"/>
    <w:rsid w:val="0045742D"/>
    <w:rsid w:val="00457C5E"/>
    <w:rsid w:val="0046026D"/>
    <w:rsid w:val="0046027A"/>
    <w:rsid w:val="004605CC"/>
    <w:rsid w:val="0046072D"/>
    <w:rsid w:val="00460921"/>
    <w:rsid w:val="00460958"/>
    <w:rsid w:val="0046110A"/>
    <w:rsid w:val="004612C8"/>
    <w:rsid w:val="0046136B"/>
    <w:rsid w:val="004613B6"/>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400B"/>
    <w:rsid w:val="004641A0"/>
    <w:rsid w:val="0046421E"/>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D11"/>
    <w:rsid w:val="00483D20"/>
    <w:rsid w:val="0048406D"/>
    <w:rsid w:val="00484C46"/>
    <w:rsid w:val="00484DC1"/>
    <w:rsid w:val="004852E8"/>
    <w:rsid w:val="004853E9"/>
    <w:rsid w:val="004856EF"/>
    <w:rsid w:val="0048598C"/>
    <w:rsid w:val="00485998"/>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705C"/>
    <w:rsid w:val="004A7172"/>
    <w:rsid w:val="004A7276"/>
    <w:rsid w:val="004A746B"/>
    <w:rsid w:val="004A770C"/>
    <w:rsid w:val="004A7EAF"/>
    <w:rsid w:val="004A7EE7"/>
    <w:rsid w:val="004A7FB0"/>
    <w:rsid w:val="004B0706"/>
    <w:rsid w:val="004B0780"/>
    <w:rsid w:val="004B0787"/>
    <w:rsid w:val="004B0929"/>
    <w:rsid w:val="004B1313"/>
    <w:rsid w:val="004B169E"/>
    <w:rsid w:val="004B19BB"/>
    <w:rsid w:val="004B1A43"/>
    <w:rsid w:val="004B1C42"/>
    <w:rsid w:val="004B1D3F"/>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E"/>
    <w:rsid w:val="004C75DA"/>
    <w:rsid w:val="004C7739"/>
    <w:rsid w:val="004C7A3A"/>
    <w:rsid w:val="004C7BDF"/>
    <w:rsid w:val="004D0C65"/>
    <w:rsid w:val="004D0E42"/>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3BE"/>
    <w:rsid w:val="004E0459"/>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B0"/>
    <w:rsid w:val="004E6CEA"/>
    <w:rsid w:val="004E6F18"/>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1BF"/>
    <w:rsid w:val="00532292"/>
    <w:rsid w:val="00532462"/>
    <w:rsid w:val="00532B16"/>
    <w:rsid w:val="00532C9D"/>
    <w:rsid w:val="00533215"/>
    <w:rsid w:val="005334E4"/>
    <w:rsid w:val="00533BD2"/>
    <w:rsid w:val="00533C61"/>
    <w:rsid w:val="00533F4E"/>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989"/>
    <w:rsid w:val="00537BE9"/>
    <w:rsid w:val="00537FB8"/>
    <w:rsid w:val="00540055"/>
    <w:rsid w:val="00540147"/>
    <w:rsid w:val="00540725"/>
    <w:rsid w:val="00540C7A"/>
    <w:rsid w:val="00541711"/>
    <w:rsid w:val="005417A0"/>
    <w:rsid w:val="0054183A"/>
    <w:rsid w:val="00541D0D"/>
    <w:rsid w:val="00541E2B"/>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13"/>
    <w:rsid w:val="00546D63"/>
    <w:rsid w:val="005471A3"/>
    <w:rsid w:val="0054747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757"/>
    <w:rsid w:val="005627C0"/>
    <w:rsid w:val="00562CDC"/>
    <w:rsid w:val="00562EB9"/>
    <w:rsid w:val="005636BE"/>
    <w:rsid w:val="00563FD2"/>
    <w:rsid w:val="005640FD"/>
    <w:rsid w:val="0056434D"/>
    <w:rsid w:val="00564EB9"/>
    <w:rsid w:val="005650D4"/>
    <w:rsid w:val="0056719E"/>
    <w:rsid w:val="0056740F"/>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F24"/>
    <w:rsid w:val="00574167"/>
    <w:rsid w:val="00574D14"/>
    <w:rsid w:val="00574FDC"/>
    <w:rsid w:val="005753DB"/>
    <w:rsid w:val="005756BD"/>
    <w:rsid w:val="00575813"/>
    <w:rsid w:val="00575CDD"/>
    <w:rsid w:val="00575F2F"/>
    <w:rsid w:val="005760C5"/>
    <w:rsid w:val="005766EA"/>
    <w:rsid w:val="00576A37"/>
    <w:rsid w:val="00576CBA"/>
    <w:rsid w:val="00577368"/>
    <w:rsid w:val="005773FF"/>
    <w:rsid w:val="00577540"/>
    <w:rsid w:val="005777AC"/>
    <w:rsid w:val="00577BBD"/>
    <w:rsid w:val="00577EB4"/>
    <w:rsid w:val="00580293"/>
    <w:rsid w:val="00580CFE"/>
    <w:rsid w:val="00581081"/>
    <w:rsid w:val="005815D2"/>
    <w:rsid w:val="005818D4"/>
    <w:rsid w:val="005819D7"/>
    <w:rsid w:val="00581AB8"/>
    <w:rsid w:val="00581B2E"/>
    <w:rsid w:val="00581C6E"/>
    <w:rsid w:val="00581F40"/>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083"/>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6BD"/>
    <w:rsid w:val="005A588D"/>
    <w:rsid w:val="005A59CF"/>
    <w:rsid w:val="005A5B54"/>
    <w:rsid w:val="005A670B"/>
    <w:rsid w:val="005A6965"/>
    <w:rsid w:val="005A6A3A"/>
    <w:rsid w:val="005A6E87"/>
    <w:rsid w:val="005A7F72"/>
    <w:rsid w:val="005B0A7D"/>
    <w:rsid w:val="005B0F18"/>
    <w:rsid w:val="005B1197"/>
    <w:rsid w:val="005B16CC"/>
    <w:rsid w:val="005B18BB"/>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A54"/>
    <w:rsid w:val="005C7CAD"/>
    <w:rsid w:val="005C7CF2"/>
    <w:rsid w:val="005C7EF8"/>
    <w:rsid w:val="005D0067"/>
    <w:rsid w:val="005D02FA"/>
    <w:rsid w:val="005D047B"/>
    <w:rsid w:val="005D0790"/>
    <w:rsid w:val="005D0873"/>
    <w:rsid w:val="005D0D3E"/>
    <w:rsid w:val="005D17BF"/>
    <w:rsid w:val="005D18B1"/>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12A"/>
    <w:rsid w:val="005E48F7"/>
    <w:rsid w:val="005E4BA4"/>
    <w:rsid w:val="005E4CCB"/>
    <w:rsid w:val="005E5317"/>
    <w:rsid w:val="005E544C"/>
    <w:rsid w:val="005E5563"/>
    <w:rsid w:val="005E59C5"/>
    <w:rsid w:val="005E5BE8"/>
    <w:rsid w:val="005E5E74"/>
    <w:rsid w:val="005E6046"/>
    <w:rsid w:val="005E610C"/>
    <w:rsid w:val="005E66F1"/>
    <w:rsid w:val="005E6AFB"/>
    <w:rsid w:val="005E6DE0"/>
    <w:rsid w:val="005E73E2"/>
    <w:rsid w:val="005E7698"/>
    <w:rsid w:val="005E7849"/>
    <w:rsid w:val="005E7A8C"/>
    <w:rsid w:val="005F06FA"/>
    <w:rsid w:val="005F06FD"/>
    <w:rsid w:val="005F0B4C"/>
    <w:rsid w:val="005F0B53"/>
    <w:rsid w:val="005F0C46"/>
    <w:rsid w:val="005F1FE4"/>
    <w:rsid w:val="005F2586"/>
    <w:rsid w:val="005F369B"/>
    <w:rsid w:val="005F3955"/>
    <w:rsid w:val="005F3F7F"/>
    <w:rsid w:val="005F40E5"/>
    <w:rsid w:val="005F419B"/>
    <w:rsid w:val="005F46D9"/>
    <w:rsid w:val="005F4950"/>
    <w:rsid w:val="005F4D16"/>
    <w:rsid w:val="005F523F"/>
    <w:rsid w:val="005F5362"/>
    <w:rsid w:val="005F556F"/>
    <w:rsid w:val="005F55A6"/>
    <w:rsid w:val="005F5C3D"/>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FCD"/>
    <w:rsid w:val="00602354"/>
    <w:rsid w:val="0060254B"/>
    <w:rsid w:val="0060268D"/>
    <w:rsid w:val="006027D5"/>
    <w:rsid w:val="0060305B"/>
    <w:rsid w:val="006039C5"/>
    <w:rsid w:val="006039F0"/>
    <w:rsid w:val="00603B1B"/>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3427"/>
    <w:rsid w:val="00623AEB"/>
    <w:rsid w:val="00623E4E"/>
    <w:rsid w:val="00624C2C"/>
    <w:rsid w:val="00624C6E"/>
    <w:rsid w:val="00624FB3"/>
    <w:rsid w:val="00625B24"/>
    <w:rsid w:val="0062657C"/>
    <w:rsid w:val="00626C25"/>
    <w:rsid w:val="00626E64"/>
    <w:rsid w:val="0062725A"/>
    <w:rsid w:val="00627A8B"/>
    <w:rsid w:val="00627BA3"/>
    <w:rsid w:val="00627C39"/>
    <w:rsid w:val="00627E44"/>
    <w:rsid w:val="006300D7"/>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C9E"/>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ACC"/>
    <w:rsid w:val="006466B5"/>
    <w:rsid w:val="0064741D"/>
    <w:rsid w:val="006474F5"/>
    <w:rsid w:val="006477A7"/>
    <w:rsid w:val="00647CB3"/>
    <w:rsid w:val="00647D9C"/>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FE2"/>
    <w:rsid w:val="00655070"/>
    <w:rsid w:val="00655223"/>
    <w:rsid w:val="00655780"/>
    <w:rsid w:val="0065594D"/>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72FC"/>
    <w:rsid w:val="00667378"/>
    <w:rsid w:val="0066745C"/>
    <w:rsid w:val="00667A27"/>
    <w:rsid w:val="00670290"/>
    <w:rsid w:val="006702A2"/>
    <w:rsid w:val="006704BF"/>
    <w:rsid w:val="00670AD6"/>
    <w:rsid w:val="00670ECD"/>
    <w:rsid w:val="00671010"/>
    <w:rsid w:val="0067106A"/>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E33"/>
    <w:rsid w:val="00682E47"/>
    <w:rsid w:val="00682ED3"/>
    <w:rsid w:val="00683052"/>
    <w:rsid w:val="00683D7F"/>
    <w:rsid w:val="00684258"/>
    <w:rsid w:val="006845C9"/>
    <w:rsid w:val="00684AA1"/>
    <w:rsid w:val="006853FF"/>
    <w:rsid w:val="00685725"/>
    <w:rsid w:val="00685834"/>
    <w:rsid w:val="00685D3B"/>
    <w:rsid w:val="00685DB7"/>
    <w:rsid w:val="0068623E"/>
    <w:rsid w:val="00686366"/>
    <w:rsid w:val="00686411"/>
    <w:rsid w:val="0068653A"/>
    <w:rsid w:val="00686A14"/>
    <w:rsid w:val="00686FAD"/>
    <w:rsid w:val="0068721F"/>
    <w:rsid w:val="006878B2"/>
    <w:rsid w:val="00687A10"/>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85"/>
    <w:rsid w:val="006B0A30"/>
    <w:rsid w:val="006B11F1"/>
    <w:rsid w:val="006B1213"/>
    <w:rsid w:val="006B163E"/>
    <w:rsid w:val="006B166D"/>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725C"/>
    <w:rsid w:val="006B7864"/>
    <w:rsid w:val="006B7F35"/>
    <w:rsid w:val="006C03B2"/>
    <w:rsid w:val="006C09DD"/>
    <w:rsid w:val="006C1142"/>
    <w:rsid w:val="006C13FC"/>
    <w:rsid w:val="006C1513"/>
    <w:rsid w:val="006C1A29"/>
    <w:rsid w:val="006C1B3F"/>
    <w:rsid w:val="006C1F77"/>
    <w:rsid w:val="006C23DC"/>
    <w:rsid w:val="006C2604"/>
    <w:rsid w:val="006C2C20"/>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846"/>
    <w:rsid w:val="006D0C09"/>
    <w:rsid w:val="006D1A23"/>
    <w:rsid w:val="006D1DFA"/>
    <w:rsid w:val="006D1F1A"/>
    <w:rsid w:val="006D2039"/>
    <w:rsid w:val="006D21FF"/>
    <w:rsid w:val="006D24FD"/>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C34"/>
    <w:rsid w:val="006E1E45"/>
    <w:rsid w:val="006E22CC"/>
    <w:rsid w:val="006E2D87"/>
    <w:rsid w:val="006E3D3A"/>
    <w:rsid w:val="006E3E37"/>
    <w:rsid w:val="006E4646"/>
    <w:rsid w:val="006E467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A88"/>
    <w:rsid w:val="006F0C12"/>
    <w:rsid w:val="006F0DB2"/>
    <w:rsid w:val="006F0E38"/>
    <w:rsid w:val="006F0EB1"/>
    <w:rsid w:val="006F1D86"/>
    <w:rsid w:val="006F1E30"/>
    <w:rsid w:val="006F20A6"/>
    <w:rsid w:val="006F291E"/>
    <w:rsid w:val="006F3052"/>
    <w:rsid w:val="006F314D"/>
    <w:rsid w:val="006F3B01"/>
    <w:rsid w:val="006F3C66"/>
    <w:rsid w:val="006F4189"/>
    <w:rsid w:val="006F42DD"/>
    <w:rsid w:val="006F43D4"/>
    <w:rsid w:val="006F466E"/>
    <w:rsid w:val="006F468E"/>
    <w:rsid w:val="006F4FAE"/>
    <w:rsid w:val="006F557B"/>
    <w:rsid w:val="006F5674"/>
    <w:rsid w:val="006F5B41"/>
    <w:rsid w:val="006F6689"/>
    <w:rsid w:val="006F6740"/>
    <w:rsid w:val="006F6FEA"/>
    <w:rsid w:val="006F6FFD"/>
    <w:rsid w:val="006F70E1"/>
    <w:rsid w:val="006F746D"/>
    <w:rsid w:val="006F7A92"/>
    <w:rsid w:val="006F7E42"/>
    <w:rsid w:val="006F7ED5"/>
    <w:rsid w:val="00700042"/>
    <w:rsid w:val="0070013F"/>
    <w:rsid w:val="0070023A"/>
    <w:rsid w:val="0070063F"/>
    <w:rsid w:val="0070124B"/>
    <w:rsid w:val="007017EA"/>
    <w:rsid w:val="0070181F"/>
    <w:rsid w:val="0070193E"/>
    <w:rsid w:val="00701B27"/>
    <w:rsid w:val="00701F97"/>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760"/>
    <w:rsid w:val="0071196B"/>
    <w:rsid w:val="00711A0F"/>
    <w:rsid w:val="00711AE4"/>
    <w:rsid w:val="00711B30"/>
    <w:rsid w:val="00711D10"/>
    <w:rsid w:val="00711D73"/>
    <w:rsid w:val="00712202"/>
    <w:rsid w:val="007123BD"/>
    <w:rsid w:val="00712A0F"/>
    <w:rsid w:val="00712FDB"/>
    <w:rsid w:val="007131B0"/>
    <w:rsid w:val="0071371F"/>
    <w:rsid w:val="0071374D"/>
    <w:rsid w:val="00714065"/>
    <w:rsid w:val="00714186"/>
    <w:rsid w:val="00714312"/>
    <w:rsid w:val="00714796"/>
    <w:rsid w:val="00714D6A"/>
    <w:rsid w:val="007151F9"/>
    <w:rsid w:val="007152EF"/>
    <w:rsid w:val="00715F49"/>
    <w:rsid w:val="0071606F"/>
    <w:rsid w:val="00716324"/>
    <w:rsid w:val="007163BF"/>
    <w:rsid w:val="0071649C"/>
    <w:rsid w:val="00716FC0"/>
    <w:rsid w:val="00717267"/>
    <w:rsid w:val="0071785D"/>
    <w:rsid w:val="00717890"/>
    <w:rsid w:val="007178EE"/>
    <w:rsid w:val="007202C0"/>
    <w:rsid w:val="00720668"/>
    <w:rsid w:val="00720759"/>
    <w:rsid w:val="007210FB"/>
    <w:rsid w:val="007215A9"/>
    <w:rsid w:val="0072190B"/>
    <w:rsid w:val="007219E8"/>
    <w:rsid w:val="00721B34"/>
    <w:rsid w:val="00721DB3"/>
    <w:rsid w:val="00721E1D"/>
    <w:rsid w:val="00722260"/>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F76"/>
    <w:rsid w:val="00752497"/>
    <w:rsid w:val="007524E2"/>
    <w:rsid w:val="00752FE7"/>
    <w:rsid w:val="007531F5"/>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72E9"/>
    <w:rsid w:val="0075777E"/>
    <w:rsid w:val="00757A61"/>
    <w:rsid w:val="00757CD9"/>
    <w:rsid w:val="00757E8E"/>
    <w:rsid w:val="00757FE8"/>
    <w:rsid w:val="007600CF"/>
    <w:rsid w:val="0076015A"/>
    <w:rsid w:val="0076031F"/>
    <w:rsid w:val="00760756"/>
    <w:rsid w:val="00760819"/>
    <w:rsid w:val="00760D79"/>
    <w:rsid w:val="0076116A"/>
    <w:rsid w:val="007613AF"/>
    <w:rsid w:val="007619FB"/>
    <w:rsid w:val="00761A37"/>
    <w:rsid w:val="00761D24"/>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31C"/>
    <w:rsid w:val="0076747C"/>
    <w:rsid w:val="007674C6"/>
    <w:rsid w:val="00767703"/>
    <w:rsid w:val="007678B6"/>
    <w:rsid w:val="007700C8"/>
    <w:rsid w:val="00770272"/>
    <w:rsid w:val="00770506"/>
    <w:rsid w:val="00770CEE"/>
    <w:rsid w:val="00771504"/>
    <w:rsid w:val="007720D6"/>
    <w:rsid w:val="007721AD"/>
    <w:rsid w:val="007728F4"/>
    <w:rsid w:val="00772D15"/>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980"/>
    <w:rsid w:val="007809E1"/>
    <w:rsid w:val="00780A03"/>
    <w:rsid w:val="00780AF4"/>
    <w:rsid w:val="00780F3D"/>
    <w:rsid w:val="00780FC2"/>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7EF"/>
    <w:rsid w:val="00784C31"/>
    <w:rsid w:val="00784EA1"/>
    <w:rsid w:val="00784ECF"/>
    <w:rsid w:val="00784FC7"/>
    <w:rsid w:val="007859E1"/>
    <w:rsid w:val="007861D1"/>
    <w:rsid w:val="00786272"/>
    <w:rsid w:val="0078628A"/>
    <w:rsid w:val="007864B2"/>
    <w:rsid w:val="00786620"/>
    <w:rsid w:val="0078681A"/>
    <w:rsid w:val="007868B7"/>
    <w:rsid w:val="00786BC0"/>
    <w:rsid w:val="00787394"/>
    <w:rsid w:val="007875E7"/>
    <w:rsid w:val="00787736"/>
    <w:rsid w:val="00787A55"/>
    <w:rsid w:val="00787FF1"/>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BA6"/>
    <w:rsid w:val="00795DC8"/>
    <w:rsid w:val="0079601B"/>
    <w:rsid w:val="007962E1"/>
    <w:rsid w:val="00796B15"/>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B0253"/>
    <w:rsid w:val="007B073B"/>
    <w:rsid w:val="007B0E3C"/>
    <w:rsid w:val="007B1061"/>
    <w:rsid w:val="007B1F9A"/>
    <w:rsid w:val="007B2074"/>
    <w:rsid w:val="007B2638"/>
    <w:rsid w:val="007B2752"/>
    <w:rsid w:val="007B2BB1"/>
    <w:rsid w:val="007B3476"/>
    <w:rsid w:val="007B448A"/>
    <w:rsid w:val="007B44DC"/>
    <w:rsid w:val="007B4543"/>
    <w:rsid w:val="007B4937"/>
    <w:rsid w:val="007B4D3D"/>
    <w:rsid w:val="007B4E66"/>
    <w:rsid w:val="007B4FF0"/>
    <w:rsid w:val="007B550D"/>
    <w:rsid w:val="007B5A66"/>
    <w:rsid w:val="007B6136"/>
    <w:rsid w:val="007B630D"/>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9DA"/>
    <w:rsid w:val="007C5CE6"/>
    <w:rsid w:val="007C5D61"/>
    <w:rsid w:val="007C5DB6"/>
    <w:rsid w:val="007C64BC"/>
    <w:rsid w:val="007C661B"/>
    <w:rsid w:val="007C6939"/>
    <w:rsid w:val="007C6941"/>
    <w:rsid w:val="007C6D8A"/>
    <w:rsid w:val="007C6E75"/>
    <w:rsid w:val="007C779D"/>
    <w:rsid w:val="007C7EF3"/>
    <w:rsid w:val="007D020B"/>
    <w:rsid w:val="007D02A6"/>
    <w:rsid w:val="007D098C"/>
    <w:rsid w:val="007D11B6"/>
    <w:rsid w:val="007D149C"/>
    <w:rsid w:val="007D163B"/>
    <w:rsid w:val="007D16BD"/>
    <w:rsid w:val="007D1B7C"/>
    <w:rsid w:val="007D214A"/>
    <w:rsid w:val="007D2C9F"/>
    <w:rsid w:val="007D31A6"/>
    <w:rsid w:val="007D357E"/>
    <w:rsid w:val="007D37BF"/>
    <w:rsid w:val="007D3889"/>
    <w:rsid w:val="007D39D7"/>
    <w:rsid w:val="007D3BE0"/>
    <w:rsid w:val="007D4632"/>
    <w:rsid w:val="007D478D"/>
    <w:rsid w:val="007D4838"/>
    <w:rsid w:val="007D4956"/>
    <w:rsid w:val="007D4FF2"/>
    <w:rsid w:val="007D512C"/>
    <w:rsid w:val="007D526F"/>
    <w:rsid w:val="007D5777"/>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B3"/>
    <w:rsid w:val="007E5B4B"/>
    <w:rsid w:val="007E5D16"/>
    <w:rsid w:val="007E5FFD"/>
    <w:rsid w:val="007E60AC"/>
    <w:rsid w:val="007E6239"/>
    <w:rsid w:val="007E6735"/>
    <w:rsid w:val="007E67F4"/>
    <w:rsid w:val="007E6FB4"/>
    <w:rsid w:val="007E732E"/>
    <w:rsid w:val="007E741E"/>
    <w:rsid w:val="007E7B2B"/>
    <w:rsid w:val="007E7E6F"/>
    <w:rsid w:val="007F0176"/>
    <w:rsid w:val="007F05E0"/>
    <w:rsid w:val="007F0B77"/>
    <w:rsid w:val="007F0B82"/>
    <w:rsid w:val="007F0DD3"/>
    <w:rsid w:val="007F1282"/>
    <w:rsid w:val="007F161F"/>
    <w:rsid w:val="007F18C0"/>
    <w:rsid w:val="007F1E9E"/>
    <w:rsid w:val="007F2477"/>
    <w:rsid w:val="007F2DBB"/>
    <w:rsid w:val="007F2ED4"/>
    <w:rsid w:val="007F32FB"/>
    <w:rsid w:val="007F3960"/>
    <w:rsid w:val="007F3FB0"/>
    <w:rsid w:val="007F43A9"/>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800005"/>
    <w:rsid w:val="00800104"/>
    <w:rsid w:val="0080012B"/>
    <w:rsid w:val="00800184"/>
    <w:rsid w:val="00800312"/>
    <w:rsid w:val="00800994"/>
    <w:rsid w:val="00800B35"/>
    <w:rsid w:val="00800B37"/>
    <w:rsid w:val="00800D5F"/>
    <w:rsid w:val="008013B8"/>
    <w:rsid w:val="008016C8"/>
    <w:rsid w:val="0080179D"/>
    <w:rsid w:val="00801838"/>
    <w:rsid w:val="008018DC"/>
    <w:rsid w:val="00802410"/>
    <w:rsid w:val="0080270F"/>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35E"/>
    <w:rsid w:val="008337E2"/>
    <w:rsid w:val="0083398C"/>
    <w:rsid w:val="0083417A"/>
    <w:rsid w:val="00834449"/>
    <w:rsid w:val="00834512"/>
    <w:rsid w:val="008349E7"/>
    <w:rsid w:val="0083502E"/>
    <w:rsid w:val="008350E9"/>
    <w:rsid w:val="008358C4"/>
    <w:rsid w:val="00835B82"/>
    <w:rsid w:val="00836133"/>
    <w:rsid w:val="0083657B"/>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96C"/>
    <w:rsid w:val="00842B49"/>
    <w:rsid w:val="00842DB7"/>
    <w:rsid w:val="00843238"/>
    <w:rsid w:val="0084387F"/>
    <w:rsid w:val="0084390B"/>
    <w:rsid w:val="00843AFD"/>
    <w:rsid w:val="00843B2C"/>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9DF"/>
    <w:rsid w:val="00856D2B"/>
    <w:rsid w:val="00856E4A"/>
    <w:rsid w:val="00857165"/>
    <w:rsid w:val="0085722A"/>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F28"/>
    <w:rsid w:val="008829DC"/>
    <w:rsid w:val="00882BB1"/>
    <w:rsid w:val="00882FE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844"/>
    <w:rsid w:val="00887FEF"/>
    <w:rsid w:val="00890786"/>
    <w:rsid w:val="008907B2"/>
    <w:rsid w:val="00890BCD"/>
    <w:rsid w:val="00890E0D"/>
    <w:rsid w:val="00890F04"/>
    <w:rsid w:val="00890FBE"/>
    <w:rsid w:val="00891F63"/>
    <w:rsid w:val="00892253"/>
    <w:rsid w:val="008922DF"/>
    <w:rsid w:val="00892492"/>
    <w:rsid w:val="00893024"/>
    <w:rsid w:val="00893B3B"/>
    <w:rsid w:val="00893BA4"/>
    <w:rsid w:val="00893DB3"/>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AAE"/>
    <w:rsid w:val="008A2F26"/>
    <w:rsid w:val="008A36ED"/>
    <w:rsid w:val="008A3898"/>
    <w:rsid w:val="008A40C1"/>
    <w:rsid w:val="008A42D8"/>
    <w:rsid w:val="008A457F"/>
    <w:rsid w:val="008A4AE7"/>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5448"/>
    <w:rsid w:val="008B5577"/>
    <w:rsid w:val="008B60ED"/>
    <w:rsid w:val="008B66CB"/>
    <w:rsid w:val="008B6E5C"/>
    <w:rsid w:val="008C0881"/>
    <w:rsid w:val="008C1161"/>
    <w:rsid w:val="008C1876"/>
    <w:rsid w:val="008C2236"/>
    <w:rsid w:val="008C2426"/>
    <w:rsid w:val="008C2453"/>
    <w:rsid w:val="008C26B4"/>
    <w:rsid w:val="008C2767"/>
    <w:rsid w:val="008C4B47"/>
    <w:rsid w:val="008C570A"/>
    <w:rsid w:val="008C59D5"/>
    <w:rsid w:val="008C5B10"/>
    <w:rsid w:val="008C6780"/>
    <w:rsid w:val="008C6970"/>
    <w:rsid w:val="008C698E"/>
    <w:rsid w:val="008C6C7A"/>
    <w:rsid w:val="008C6F4F"/>
    <w:rsid w:val="008C6F9B"/>
    <w:rsid w:val="008C6FA2"/>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F52"/>
    <w:rsid w:val="008E412D"/>
    <w:rsid w:val="008E451A"/>
    <w:rsid w:val="008E4CA5"/>
    <w:rsid w:val="008E4D10"/>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3FCD"/>
    <w:rsid w:val="008F4107"/>
    <w:rsid w:val="008F4B0F"/>
    <w:rsid w:val="008F4BFE"/>
    <w:rsid w:val="008F4E3F"/>
    <w:rsid w:val="008F5406"/>
    <w:rsid w:val="008F5866"/>
    <w:rsid w:val="008F595E"/>
    <w:rsid w:val="008F6188"/>
    <w:rsid w:val="008F62F8"/>
    <w:rsid w:val="008F6649"/>
    <w:rsid w:val="008F692B"/>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F49"/>
    <w:rsid w:val="00906100"/>
    <w:rsid w:val="009067B8"/>
    <w:rsid w:val="00906EED"/>
    <w:rsid w:val="00907071"/>
    <w:rsid w:val="0090715C"/>
    <w:rsid w:val="00907862"/>
    <w:rsid w:val="00907BEE"/>
    <w:rsid w:val="00910628"/>
    <w:rsid w:val="00910874"/>
    <w:rsid w:val="009108A7"/>
    <w:rsid w:val="0091181E"/>
    <w:rsid w:val="00911A5A"/>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6BF"/>
    <w:rsid w:val="009218C8"/>
    <w:rsid w:val="009218D2"/>
    <w:rsid w:val="00921A44"/>
    <w:rsid w:val="00921A74"/>
    <w:rsid w:val="00921C9F"/>
    <w:rsid w:val="00921ED5"/>
    <w:rsid w:val="00921FA1"/>
    <w:rsid w:val="009225B6"/>
    <w:rsid w:val="00922710"/>
    <w:rsid w:val="00922E98"/>
    <w:rsid w:val="00923151"/>
    <w:rsid w:val="009235CF"/>
    <w:rsid w:val="00923821"/>
    <w:rsid w:val="00924108"/>
    <w:rsid w:val="00924491"/>
    <w:rsid w:val="00924CEC"/>
    <w:rsid w:val="0092507E"/>
    <w:rsid w:val="009250C2"/>
    <w:rsid w:val="00925267"/>
    <w:rsid w:val="00925836"/>
    <w:rsid w:val="0092591F"/>
    <w:rsid w:val="00925B66"/>
    <w:rsid w:val="00925DD1"/>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BB8"/>
    <w:rsid w:val="00942E21"/>
    <w:rsid w:val="00942EF9"/>
    <w:rsid w:val="0094335F"/>
    <w:rsid w:val="0094376F"/>
    <w:rsid w:val="009438C4"/>
    <w:rsid w:val="00943B25"/>
    <w:rsid w:val="00944202"/>
    <w:rsid w:val="00944335"/>
    <w:rsid w:val="0094484A"/>
    <w:rsid w:val="00944AF4"/>
    <w:rsid w:val="00945E49"/>
    <w:rsid w:val="009462D8"/>
    <w:rsid w:val="00946388"/>
    <w:rsid w:val="0094663A"/>
    <w:rsid w:val="00946A8A"/>
    <w:rsid w:val="00946AA5"/>
    <w:rsid w:val="00946C4B"/>
    <w:rsid w:val="009478ED"/>
    <w:rsid w:val="009479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E65"/>
    <w:rsid w:val="0096392B"/>
    <w:rsid w:val="0096397B"/>
    <w:rsid w:val="00964594"/>
    <w:rsid w:val="00964784"/>
    <w:rsid w:val="009648EB"/>
    <w:rsid w:val="00964E3C"/>
    <w:rsid w:val="00964E69"/>
    <w:rsid w:val="0096504D"/>
    <w:rsid w:val="00965493"/>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B9F"/>
    <w:rsid w:val="00974EBD"/>
    <w:rsid w:val="00975131"/>
    <w:rsid w:val="009751BA"/>
    <w:rsid w:val="0097539E"/>
    <w:rsid w:val="0097577E"/>
    <w:rsid w:val="0097612F"/>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F39"/>
    <w:rsid w:val="00992624"/>
    <w:rsid w:val="009927C4"/>
    <w:rsid w:val="00992E8F"/>
    <w:rsid w:val="00993075"/>
    <w:rsid w:val="009930C0"/>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107E"/>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B"/>
    <w:rsid w:val="009C6E93"/>
    <w:rsid w:val="009C73C4"/>
    <w:rsid w:val="009C75CC"/>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D40"/>
    <w:rsid w:val="009E1E2C"/>
    <w:rsid w:val="009E1F70"/>
    <w:rsid w:val="009E21A4"/>
    <w:rsid w:val="009E23E3"/>
    <w:rsid w:val="009E2BE6"/>
    <w:rsid w:val="009E2DD3"/>
    <w:rsid w:val="009E2EAE"/>
    <w:rsid w:val="009E2F97"/>
    <w:rsid w:val="009E3644"/>
    <w:rsid w:val="009E3790"/>
    <w:rsid w:val="009E3C31"/>
    <w:rsid w:val="009E4414"/>
    <w:rsid w:val="009E457F"/>
    <w:rsid w:val="009E4FCC"/>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271"/>
    <w:rsid w:val="009F4375"/>
    <w:rsid w:val="009F4F05"/>
    <w:rsid w:val="009F5606"/>
    <w:rsid w:val="009F5CA4"/>
    <w:rsid w:val="009F6410"/>
    <w:rsid w:val="009F6457"/>
    <w:rsid w:val="009F7169"/>
    <w:rsid w:val="009F7883"/>
    <w:rsid w:val="009F79BE"/>
    <w:rsid w:val="00A0018E"/>
    <w:rsid w:val="00A00197"/>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5A0B"/>
    <w:rsid w:val="00A35BD0"/>
    <w:rsid w:val="00A362CB"/>
    <w:rsid w:val="00A3692C"/>
    <w:rsid w:val="00A369E2"/>
    <w:rsid w:val="00A3747D"/>
    <w:rsid w:val="00A37A59"/>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244"/>
    <w:rsid w:val="00A6367F"/>
    <w:rsid w:val="00A63872"/>
    <w:rsid w:val="00A63A37"/>
    <w:rsid w:val="00A63C62"/>
    <w:rsid w:val="00A64196"/>
    <w:rsid w:val="00A644C6"/>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9D6"/>
    <w:rsid w:val="00A673D2"/>
    <w:rsid w:val="00A6743F"/>
    <w:rsid w:val="00A677C1"/>
    <w:rsid w:val="00A67A8E"/>
    <w:rsid w:val="00A67AC6"/>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9B"/>
    <w:rsid w:val="00A8221B"/>
    <w:rsid w:val="00A82508"/>
    <w:rsid w:val="00A82C1E"/>
    <w:rsid w:val="00A831F0"/>
    <w:rsid w:val="00A835B2"/>
    <w:rsid w:val="00A83BF1"/>
    <w:rsid w:val="00A83CA0"/>
    <w:rsid w:val="00A84298"/>
    <w:rsid w:val="00A844CE"/>
    <w:rsid w:val="00A84EBF"/>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9F2"/>
    <w:rsid w:val="00AA2CD8"/>
    <w:rsid w:val="00AA30A2"/>
    <w:rsid w:val="00AA32EC"/>
    <w:rsid w:val="00AA461D"/>
    <w:rsid w:val="00AA4C09"/>
    <w:rsid w:val="00AA4F41"/>
    <w:rsid w:val="00AA553A"/>
    <w:rsid w:val="00AA5584"/>
    <w:rsid w:val="00AA576F"/>
    <w:rsid w:val="00AA57CC"/>
    <w:rsid w:val="00AA5A12"/>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D0B"/>
    <w:rsid w:val="00AB3E16"/>
    <w:rsid w:val="00AB3E3E"/>
    <w:rsid w:val="00AB3F13"/>
    <w:rsid w:val="00AB3F9D"/>
    <w:rsid w:val="00AB4157"/>
    <w:rsid w:val="00AB42FF"/>
    <w:rsid w:val="00AB4300"/>
    <w:rsid w:val="00AB513E"/>
    <w:rsid w:val="00AB51DA"/>
    <w:rsid w:val="00AB53BA"/>
    <w:rsid w:val="00AB57AD"/>
    <w:rsid w:val="00AB57E1"/>
    <w:rsid w:val="00AB583A"/>
    <w:rsid w:val="00AB642C"/>
    <w:rsid w:val="00AB644A"/>
    <w:rsid w:val="00AB6458"/>
    <w:rsid w:val="00AB6CA0"/>
    <w:rsid w:val="00AB76D5"/>
    <w:rsid w:val="00AB7787"/>
    <w:rsid w:val="00AB78AC"/>
    <w:rsid w:val="00AB7913"/>
    <w:rsid w:val="00AC0169"/>
    <w:rsid w:val="00AC0CC3"/>
    <w:rsid w:val="00AC1281"/>
    <w:rsid w:val="00AC1525"/>
    <w:rsid w:val="00AC21BA"/>
    <w:rsid w:val="00AC22C7"/>
    <w:rsid w:val="00AC249D"/>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D1"/>
    <w:rsid w:val="00AE4557"/>
    <w:rsid w:val="00AE492A"/>
    <w:rsid w:val="00AE4A1F"/>
    <w:rsid w:val="00AE4C55"/>
    <w:rsid w:val="00AE4F01"/>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F78"/>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101"/>
    <w:rsid w:val="00B0326E"/>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A8C"/>
    <w:rsid w:val="00B13003"/>
    <w:rsid w:val="00B137BE"/>
    <w:rsid w:val="00B13829"/>
    <w:rsid w:val="00B13F1F"/>
    <w:rsid w:val="00B1417B"/>
    <w:rsid w:val="00B14251"/>
    <w:rsid w:val="00B1478D"/>
    <w:rsid w:val="00B147CC"/>
    <w:rsid w:val="00B15141"/>
    <w:rsid w:val="00B151C6"/>
    <w:rsid w:val="00B16770"/>
    <w:rsid w:val="00B16815"/>
    <w:rsid w:val="00B16B5F"/>
    <w:rsid w:val="00B16D08"/>
    <w:rsid w:val="00B1736C"/>
    <w:rsid w:val="00B17431"/>
    <w:rsid w:val="00B17744"/>
    <w:rsid w:val="00B17D3E"/>
    <w:rsid w:val="00B20057"/>
    <w:rsid w:val="00B2043A"/>
    <w:rsid w:val="00B20470"/>
    <w:rsid w:val="00B20CD7"/>
    <w:rsid w:val="00B20E2B"/>
    <w:rsid w:val="00B20F3D"/>
    <w:rsid w:val="00B21016"/>
    <w:rsid w:val="00B213E5"/>
    <w:rsid w:val="00B214D2"/>
    <w:rsid w:val="00B215F9"/>
    <w:rsid w:val="00B217CD"/>
    <w:rsid w:val="00B21B67"/>
    <w:rsid w:val="00B21CA7"/>
    <w:rsid w:val="00B22472"/>
    <w:rsid w:val="00B2254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CB3"/>
    <w:rsid w:val="00B35F8E"/>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A61"/>
    <w:rsid w:val="00B45AC0"/>
    <w:rsid w:val="00B46501"/>
    <w:rsid w:val="00B47784"/>
    <w:rsid w:val="00B4783F"/>
    <w:rsid w:val="00B47858"/>
    <w:rsid w:val="00B47CEF"/>
    <w:rsid w:val="00B50261"/>
    <w:rsid w:val="00B504F7"/>
    <w:rsid w:val="00B50810"/>
    <w:rsid w:val="00B50933"/>
    <w:rsid w:val="00B50BDC"/>
    <w:rsid w:val="00B50E09"/>
    <w:rsid w:val="00B51420"/>
    <w:rsid w:val="00B51526"/>
    <w:rsid w:val="00B517F1"/>
    <w:rsid w:val="00B51A40"/>
    <w:rsid w:val="00B5238F"/>
    <w:rsid w:val="00B529F2"/>
    <w:rsid w:val="00B52B81"/>
    <w:rsid w:val="00B52EC8"/>
    <w:rsid w:val="00B5370C"/>
    <w:rsid w:val="00B53EF5"/>
    <w:rsid w:val="00B542BA"/>
    <w:rsid w:val="00B54989"/>
    <w:rsid w:val="00B54CC5"/>
    <w:rsid w:val="00B553CF"/>
    <w:rsid w:val="00B55565"/>
    <w:rsid w:val="00B555B8"/>
    <w:rsid w:val="00B55ACA"/>
    <w:rsid w:val="00B561BD"/>
    <w:rsid w:val="00B566E0"/>
    <w:rsid w:val="00B5685D"/>
    <w:rsid w:val="00B56E91"/>
    <w:rsid w:val="00B56F22"/>
    <w:rsid w:val="00B574BA"/>
    <w:rsid w:val="00B57861"/>
    <w:rsid w:val="00B57CD1"/>
    <w:rsid w:val="00B60407"/>
    <w:rsid w:val="00B6059C"/>
    <w:rsid w:val="00B60B4F"/>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5F4"/>
    <w:rsid w:val="00B66801"/>
    <w:rsid w:val="00B668B4"/>
    <w:rsid w:val="00B66FFC"/>
    <w:rsid w:val="00B6796C"/>
    <w:rsid w:val="00B67B2B"/>
    <w:rsid w:val="00B67E51"/>
    <w:rsid w:val="00B67F03"/>
    <w:rsid w:val="00B7021B"/>
    <w:rsid w:val="00B70333"/>
    <w:rsid w:val="00B70A49"/>
    <w:rsid w:val="00B70EDB"/>
    <w:rsid w:val="00B71A5D"/>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F5B"/>
    <w:rsid w:val="00B8103A"/>
    <w:rsid w:val="00B81578"/>
    <w:rsid w:val="00B81684"/>
    <w:rsid w:val="00B817F4"/>
    <w:rsid w:val="00B8191A"/>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716A"/>
    <w:rsid w:val="00B9745E"/>
    <w:rsid w:val="00B97701"/>
    <w:rsid w:val="00B977E6"/>
    <w:rsid w:val="00BA067F"/>
    <w:rsid w:val="00BA0A3E"/>
    <w:rsid w:val="00BA1327"/>
    <w:rsid w:val="00BA13E0"/>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F29"/>
    <w:rsid w:val="00BA40BE"/>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321"/>
    <w:rsid w:val="00BB56F2"/>
    <w:rsid w:val="00BB56F5"/>
    <w:rsid w:val="00BB57E0"/>
    <w:rsid w:val="00BB5846"/>
    <w:rsid w:val="00BB61DC"/>
    <w:rsid w:val="00BB6258"/>
    <w:rsid w:val="00BB6431"/>
    <w:rsid w:val="00BB645D"/>
    <w:rsid w:val="00BB6472"/>
    <w:rsid w:val="00BB7109"/>
    <w:rsid w:val="00BB71EC"/>
    <w:rsid w:val="00BB724B"/>
    <w:rsid w:val="00BB740F"/>
    <w:rsid w:val="00BB7DB1"/>
    <w:rsid w:val="00BC0AE6"/>
    <w:rsid w:val="00BC16BF"/>
    <w:rsid w:val="00BC1B4B"/>
    <w:rsid w:val="00BC201A"/>
    <w:rsid w:val="00BC2B85"/>
    <w:rsid w:val="00BC2BC7"/>
    <w:rsid w:val="00BC2F45"/>
    <w:rsid w:val="00BC344E"/>
    <w:rsid w:val="00BC38B8"/>
    <w:rsid w:val="00BC3CF8"/>
    <w:rsid w:val="00BC4B9C"/>
    <w:rsid w:val="00BC4E5E"/>
    <w:rsid w:val="00BC5181"/>
    <w:rsid w:val="00BC56C1"/>
    <w:rsid w:val="00BC5A77"/>
    <w:rsid w:val="00BC5CE2"/>
    <w:rsid w:val="00BC642E"/>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3E27"/>
    <w:rsid w:val="00BD4355"/>
    <w:rsid w:val="00BD4A64"/>
    <w:rsid w:val="00BD5A26"/>
    <w:rsid w:val="00BD5A74"/>
    <w:rsid w:val="00BD5D4D"/>
    <w:rsid w:val="00BD6042"/>
    <w:rsid w:val="00BD614C"/>
    <w:rsid w:val="00BD6429"/>
    <w:rsid w:val="00BD6509"/>
    <w:rsid w:val="00BD689C"/>
    <w:rsid w:val="00BD6A22"/>
    <w:rsid w:val="00BD78B8"/>
    <w:rsid w:val="00BD7A82"/>
    <w:rsid w:val="00BD7F9E"/>
    <w:rsid w:val="00BE072F"/>
    <w:rsid w:val="00BE0C3B"/>
    <w:rsid w:val="00BE0CF6"/>
    <w:rsid w:val="00BE13B8"/>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48A"/>
    <w:rsid w:val="00C067A4"/>
    <w:rsid w:val="00C06DFE"/>
    <w:rsid w:val="00C06F8C"/>
    <w:rsid w:val="00C07A6C"/>
    <w:rsid w:val="00C07AE3"/>
    <w:rsid w:val="00C07AE4"/>
    <w:rsid w:val="00C10599"/>
    <w:rsid w:val="00C107FB"/>
    <w:rsid w:val="00C10F46"/>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F22"/>
    <w:rsid w:val="00C140FE"/>
    <w:rsid w:val="00C14346"/>
    <w:rsid w:val="00C14691"/>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445"/>
    <w:rsid w:val="00C32BB7"/>
    <w:rsid w:val="00C32CCE"/>
    <w:rsid w:val="00C337EC"/>
    <w:rsid w:val="00C339DE"/>
    <w:rsid w:val="00C33AA7"/>
    <w:rsid w:val="00C33DCE"/>
    <w:rsid w:val="00C3463A"/>
    <w:rsid w:val="00C346BB"/>
    <w:rsid w:val="00C346C1"/>
    <w:rsid w:val="00C34BDB"/>
    <w:rsid w:val="00C34C05"/>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E8D"/>
    <w:rsid w:val="00C42130"/>
    <w:rsid w:val="00C42784"/>
    <w:rsid w:val="00C429E1"/>
    <w:rsid w:val="00C43961"/>
    <w:rsid w:val="00C439F0"/>
    <w:rsid w:val="00C43CE7"/>
    <w:rsid w:val="00C4412A"/>
    <w:rsid w:val="00C44189"/>
    <w:rsid w:val="00C447FB"/>
    <w:rsid w:val="00C44A2C"/>
    <w:rsid w:val="00C44F96"/>
    <w:rsid w:val="00C44FF2"/>
    <w:rsid w:val="00C45377"/>
    <w:rsid w:val="00C4587D"/>
    <w:rsid w:val="00C45C66"/>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31B4"/>
    <w:rsid w:val="00C532F9"/>
    <w:rsid w:val="00C539B0"/>
    <w:rsid w:val="00C53E22"/>
    <w:rsid w:val="00C54C14"/>
    <w:rsid w:val="00C54C62"/>
    <w:rsid w:val="00C54CBD"/>
    <w:rsid w:val="00C54CDD"/>
    <w:rsid w:val="00C55860"/>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2A8"/>
    <w:rsid w:val="00C7448E"/>
    <w:rsid w:val="00C74859"/>
    <w:rsid w:val="00C748E2"/>
    <w:rsid w:val="00C74B2A"/>
    <w:rsid w:val="00C75004"/>
    <w:rsid w:val="00C755E8"/>
    <w:rsid w:val="00C75970"/>
    <w:rsid w:val="00C75AC4"/>
    <w:rsid w:val="00C75C9D"/>
    <w:rsid w:val="00C76952"/>
    <w:rsid w:val="00C7731D"/>
    <w:rsid w:val="00C7799E"/>
    <w:rsid w:val="00C80441"/>
    <w:rsid w:val="00C80503"/>
    <w:rsid w:val="00C80547"/>
    <w:rsid w:val="00C80DB5"/>
    <w:rsid w:val="00C81860"/>
    <w:rsid w:val="00C8198E"/>
    <w:rsid w:val="00C81B30"/>
    <w:rsid w:val="00C8220B"/>
    <w:rsid w:val="00C82387"/>
    <w:rsid w:val="00C823D0"/>
    <w:rsid w:val="00C82C27"/>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DDB"/>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9AA"/>
    <w:rsid w:val="00CA0FCC"/>
    <w:rsid w:val="00CA114D"/>
    <w:rsid w:val="00CA1225"/>
    <w:rsid w:val="00CA18D2"/>
    <w:rsid w:val="00CA192B"/>
    <w:rsid w:val="00CA2604"/>
    <w:rsid w:val="00CA2919"/>
    <w:rsid w:val="00CA2C56"/>
    <w:rsid w:val="00CA49C0"/>
    <w:rsid w:val="00CA4A24"/>
    <w:rsid w:val="00CA4A3F"/>
    <w:rsid w:val="00CA4C14"/>
    <w:rsid w:val="00CA4F58"/>
    <w:rsid w:val="00CA51A0"/>
    <w:rsid w:val="00CA54E1"/>
    <w:rsid w:val="00CA5DA3"/>
    <w:rsid w:val="00CA6164"/>
    <w:rsid w:val="00CA7EF0"/>
    <w:rsid w:val="00CB01BC"/>
    <w:rsid w:val="00CB03CF"/>
    <w:rsid w:val="00CB047F"/>
    <w:rsid w:val="00CB059A"/>
    <w:rsid w:val="00CB11BD"/>
    <w:rsid w:val="00CB1368"/>
    <w:rsid w:val="00CB167F"/>
    <w:rsid w:val="00CB1CA2"/>
    <w:rsid w:val="00CB1DFE"/>
    <w:rsid w:val="00CB1F2A"/>
    <w:rsid w:val="00CB299C"/>
    <w:rsid w:val="00CB2BBA"/>
    <w:rsid w:val="00CB35ED"/>
    <w:rsid w:val="00CB37C7"/>
    <w:rsid w:val="00CB39EB"/>
    <w:rsid w:val="00CB41E7"/>
    <w:rsid w:val="00CB480A"/>
    <w:rsid w:val="00CB4FA5"/>
    <w:rsid w:val="00CB5008"/>
    <w:rsid w:val="00CB58DD"/>
    <w:rsid w:val="00CB6343"/>
    <w:rsid w:val="00CB651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DF5"/>
    <w:rsid w:val="00CD0002"/>
    <w:rsid w:val="00CD04B6"/>
    <w:rsid w:val="00CD0740"/>
    <w:rsid w:val="00CD0768"/>
    <w:rsid w:val="00CD124B"/>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87F"/>
    <w:rsid w:val="00CD7A86"/>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AA"/>
    <w:rsid w:val="00CE3CDC"/>
    <w:rsid w:val="00CE3D16"/>
    <w:rsid w:val="00CE5386"/>
    <w:rsid w:val="00CE5793"/>
    <w:rsid w:val="00CE585C"/>
    <w:rsid w:val="00CE5E50"/>
    <w:rsid w:val="00CE6010"/>
    <w:rsid w:val="00CE630B"/>
    <w:rsid w:val="00CE6382"/>
    <w:rsid w:val="00CE6740"/>
    <w:rsid w:val="00CE69F3"/>
    <w:rsid w:val="00CE6AD5"/>
    <w:rsid w:val="00CE6E24"/>
    <w:rsid w:val="00CE6F88"/>
    <w:rsid w:val="00CE7392"/>
    <w:rsid w:val="00CE7603"/>
    <w:rsid w:val="00CE76BD"/>
    <w:rsid w:val="00CE781A"/>
    <w:rsid w:val="00CF02AC"/>
    <w:rsid w:val="00CF04FA"/>
    <w:rsid w:val="00CF057C"/>
    <w:rsid w:val="00CF06E6"/>
    <w:rsid w:val="00CF13E4"/>
    <w:rsid w:val="00CF14AC"/>
    <w:rsid w:val="00CF18AB"/>
    <w:rsid w:val="00CF1AA6"/>
    <w:rsid w:val="00CF20C8"/>
    <w:rsid w:val="00CF2639"/>
    <w:rsid w:val="00CF2BC3"/>
    <w:rsid w:val="00CF2EAE"/>
    <w:rsid w:val="00CF2EF5"/>
    <w:rsid w:val="00CF2FBF"/>
    <w:rsid w:val="00CF33BA"/>
    <w:rsid w:val="00CF3C1E"/>
    <w:rsid w:val="00CF3E2B"/>
    <w:rsid w:val="00CF3F01"/>
    <w:rsid w:val="00CF4050"/>
    <w:rsid w:val="00CF41AE"/>
    <w:rsid w:val="00CF495B"/>
    <w:rsid w:val="00CF4971"/>
    <w:rsid w:val="00CF4F02"/>
    <w:rsid w:val="00CF4F88"/>
    <w:rsid w:val="00CF595E"/>
    <w:rsid w:val="00CF5EE9"/>
    <w:rsid w:val="00CF61A3"/>
    <w:rsid w:val="00CF66DE"/>
    <w:rsid w:val="00CF6848"/>
    <w:rsid w:val="00CF6AF3"/>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AFC"/>
    <w:rsid w:val="00D02C36"/>
    <w:rsid w:val="00D02E17"/>
    <w:rsid w:val="00D02F2F"/>
    <w:rsid w:val="00D04A63"/>
    <w:rsid w:val="00D04FC8"/>
    <w:rsid w:val="00D050BA"/>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7"/>
    <w:rsid w:val="00D33410"/>
    <w:rsid w:val="00D33418"/>
    <w:rsid w:val="00D33458"/>
    <w:rsid w:val="00D33AFC"/>
    <w:rsid w:val="00D33C0E"/>
    <w:rsid w:val="00D3410B"/>
    <w:rsid w:val="00D344C9"/>
    <w:rsid w:val="00D3568C"/>
    <w:rsid w:val="00D358B2"/>
    <w:rsid w:val="00D359BB"/>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2BD"/>
    <w:rsid w:val="00D43888"/>
    <w:rsid w:val="00D4429F"/>
    <w:rsid w:val="00D44A5C"/>
    <w:rsid w:val="00D45B68"/>
    <w:rsid w:val="00D466E5"/>
    <w:rsid w:val="00D467C7"/>
    <w:rsid w:val="00D4688E"/>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207"/>
    <w:rsid w:val="00D6038F"/>
    <w:rsid w:val="00D6041F"/>
    <w:rsid w:val="00D60BCB"/>
    <w:rsid w:val="00D60C1A"/>
    <w:rsid w:val="00D60CB2"/>
    <w:rsid w:val="00D60CE3"/>
    <w:rsid w:val="00D60DD4"/>
    <w:rsid w:val="00D610FA"/>
    <w:rsid w:val="00D61697"/>
    <w:rsid w:val="00D62243"/>
    <w:rsid w:val="00D6278F"/>
    <w:rsid w:val="00D62949"/>
    <w:rsid w:val="00D629D3"/>
    <w:rsid w:val="00D62DEC"/>
    <w:rsid w:val="00D62E00"/>
    <w:rsid w:val="00D635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B6D"/>
    <w:rsid w:val="00D66C66"/>
    <w:rsid w:val="00D66DAA"/>
    <w:rsid w:val="00D67241"/>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78A"/>
    <w:rsid w:val="00D8781B"/>
    <w:rsid w:val="00D91009"/>
    <w:rsid w:val="00D9120D"/>
    <w:rsid w:val="00D9126A"/>
    <w:rsid w:val="00D912DF"/>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909"/>
    <w:rsid w:val="00D94BB0"/>
    <w:rsid w:val="00D94FF3"/>
    <w:rsid w:val="00D95322"/>
    <w:rsid w:val="00D955B0"/>
    <w:rsid w:val="00D957C0"/>
    <w:rsid w:val="00D95B27"/>
    <w:rsid w:val="00D95BC2"/>
    <w:rsid w:val="00D95BFF"/>
    <w:rsid w:val="00D95F45"/>
    <w:rsid w:val="00D96AD5"/>
    <w:rsid w:val="00D97663"/>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913"/>
    <w:rsid w:val="00DB5A21"/>
    <w:rsid w:val="00DB5DEB"/>
    <w:rsid w:val="00DB5EE5"/>
    <w:rsid w:val="00DB6681"/>
    <w:rsid w:val="00DB70B3"/>
    <w:rsid w:val="00DB749A"/>
    <w:rsid w:val="00DB7E8C"/>
    <w:rsid w:val="00DC0307"/>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A5A"/>
    <w:rsid w:val="00DD4714"/>
    <w:rsid w:val="00DD49D3"/>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8DA"/>
    <w:rsid w:val="00DE5FDA"/>
    <w:rsid w:val="00DE61AA"/>
    <w:rsid w:val="00DE61F7"/>
    <w:rsid w:val="00DE7025"/>
    <w:rsid w:val="00DE752E"/>
    <w:rsid w:val="00DE7577"/>
    <w:rsid w:val="00DE7586"/>
    <w:rsid w:val="00DE7793"/>
    <w:rsid w:val="00DE7ADA"/>
    <w:rsid w:val="00DE7D03"/>
    <w:rsid w:val="00DE7F45"/>
    <w:rsid w:val="00DE7FD3"/>
    <w:rsid w:val="00DF02EC"/>
    <w:rsid w:val="00DF0820"/>
    <w:rsid w:val="00DF0D33"/>
    <w:rsid w:val="00DF0E63"/>
    <w:rsid w:val="00DF12DC"/>
    <w:rsid w:val="00DF1300"/>
    <w:rsid w:val="00DF155A"/>
    <w:rsid w:val="00DF1EB6"/>
    <w:rsid w:val="00DF1FD6"/>
    <w:rsid w:val="00DF2901"/>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EC"/>
    <w:rsid w:val="00E04ED2"/>
    <w:rsid w:val="00E05A43"/>
    <w:rsid w:val="00E05FC4"/>
    <w:rsid w:val="00E06977"/>
    <w:rsid w:val="00E06AF4"/>
    <w:rsid w:val="00E073C8"/>
    <w:rsid w:val="00E07686"/>
    <w:rsid w:val="00E07E45"/>
    <w:rsid w:val="00E1007C"/>
    <w:rsid w:val="00E101F9"/>
    <w:rsid w:val="00E102BD"/>
    <w:rsid w:val="00E1039D"/>
    <w:rsid w:val="00E103F8"/>
    <w:rsid w:val="00E10631"/>
    <w:rsid w:val="00E11337"/>
    <w:rsid w:val="00E114AD"/>
    <w:rsid w:val="00E11EB8"/>
    <w:rsid w:val="00E1273A"/>
    <w:rsid w:val="00E12933"/>
    <w:rsid w:val="00E12A5A"/>
    <w:rsid w:val="00E12AF0"/>
    <w:rsid w:val="00E13528"/>
    <w:rsid w:val="00E136AE"/>
    <w:rsid w:val="00E139D0"/>
    <w:rsid w:val="00E142B8"/>
    <w:rsid w:val="00E143F1"/>
    <w:rsid w:val="00E145A7"/>
    <w:rsid w:val="00E145E0"/>
    <w:rsid w:val="00E147E5"/>
    <w:rsid w:val="00E14913"/>
    <w:rsid w:val="00E149D5"/>
    <w:rsid w:val="00E14F6F"/>
    <w:rsid w:val="00E150B1"/>
    <w:rsid w:val="00E15352"/>
    <w:rsid w:val="00E154A1"/>
    <w:rsid w:val="00E15ED2"/>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F1E"/>
    <w:rsid w:val="00E4466A"/>
    <w:rsid w:val="00E447D5"/>
    <w:rsid w:val="00E45041"/>
    <w:rsid w:val="00E450D8"/>
    <w:rsid w:val="00E452D0"/>
    <w:rsid w:val="00E45A9D"/>
    <w:rsid w:val="00E460A1"/>
    <w:rsid w:val="00E463A2"/>
    <w:rsid w:val="00E46474"/>
    <w:rsid w:val="00E46635"/>
    <w:rsid w:val="00E46BC0"/>
    <w:rsid w:val="00E46CC9"/>
    <w:rsid w:val="00E47642"/>
    <w:rsid w:val="00E47D5F"/>
    <w:rsid w:val="00E47D96"/>
    <w:rsid w:val="00E5037A"/>
    <w:rsid w:val="00E508D6"/>
    <w:rsid w:val="00E50ADD"/>
    <w:rsid w:val="00E515A3"/>
    <w:rsid w:val="00E51A1D"/>
    <w:rsid w:val="00E51E23"/>
    <w:rsid w:val="00E523F3"/>
    <w:rsid w:val="00E52F76"/>
    <w:rsid w:val="00E5315C"/>
    <w:rsid w:val="00E534EA"/>
    <w:rsid w:val="00E538E0"/>
    <w:rsid w:val="00E541FA"/>
    <w:rsid w:val="00E547DF"/>
    <w:rsid w:val="00E54AE9"/>
    <w:rsid w:val="00E54D33"/>
    <w:rsid w:val="00E564C1"/>
    <w:rsid w:val="00E56D97"/>
    <w:rsid w:val="00E56E3C"/>
    <w:rsid w:val="00E56F3C"/>
    <w:rsid w:val="00E5711F"/>
    <w:rsid w:val="00E577B5"/>
    <w:rsid w:val="00E6000E"/>
    <w:rsid w:val="00E60050"/>
    <w:rsid w:val="00E6014B"/>
    <w:rsid w:val="00E602C9"/>
    <w:rsid w:val="00E608B7"/>
    <w:rsid w:val="00E608E1"/>
    <w:rsid w:val="00E60E12"/>
    <w:rsid w:val="00E60F80"/>
    <w:rsid w:val="00E6134E"/>
    <w:rsid w:val="00E613CE"/>
    <w:rsid w:val="00E61B55"/>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70B"/>
    <w:rsid w:val="00E6682F"/>
    <w:rsid w:val="00E67394"/>
    <w:rsid w:val="00E67631"/>
    <w:rsid w:val="00E7002F"/>
    <w:rsid w:val="00E7041A"/>
    <w:rsid w:val="00E705E5"/>
    <w:rsid w:val="00E70B0C"/>
    <w:rsid w:val="00E71952"/>
    <w:rsid w:val="00E719E4"/>
    <w:rsid w:val="00E71DF1"/>
    <w:rsid w:val="00E71EDB"/>
    <w:rsid w:val="00E71F17"/>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1645"/>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9F0"/>
    <w:rsid w:val="00E87AE6"/>
    <w:rsid w:val="00E87BC7"/>
    <w:rsid w:val="00E90278"/>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38D"/>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D78"/>
    <w:rsid w:val="00EA6E29"/>
    <w:rsid w:val="00EA7B1C"/>
    <w:rsid w:val="00EA7CE6"/>
    <w:rsid w:val="00EA7E15"/>
    <w:rsid w:val="00EA7E9E"/>
    <w:rsid w:val="00EA7EF5"/>
    <w:rsid w:val="00EA7F1F"/>
    <w:rsid w:val="00EB05DC"/>
    <w:rsid w:val="00EB0650"/>
    <w:rsid w:val="00EB0CBA"/>
    <w:rsid w:val="00EB1705"/>
    <w:rsid w:val="00EB2023"/>
    <w:rsid w:val="00EB2435"/>
    <w:rsid w:val="00EB269A"/>
    <w:rsid w:val="00EB2814"/>
    <w:rsid w:val="00EB296A"/>
    <w:rsid w:val="00EB3495"/>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C5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A8"/>
    <w:rsid w:val="00EE15CA"/>
    <w:rsid w:val="00EE18BB"/>
    <w:rsid w:val="00EE1938"/>
    <w:rsid w:val="00EE1CDA"/>
    <w:rsid w:val="00EE24B7"/>
    <w:rsid w:val="00EE2AAB"/>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E9F"/>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0BB6"/>
    <w:rsid w:val="00F1135C"/>
    <w:rsid w:val="00F1165E"/>
    <w:rsid w:val="00F11CF5"/>
    <w:rsid w:val="00F12056"/>
    <w:rsid w:val="00F12B3D"/>
    <w:rsid w:val="00F13242"/>
    <w:rsid w:val="00F13555"/>
    <w:rsid w:val="00F1403E"/>
    <w:rsid w:val="00F140FE"/>
    <w:rsid w:val="00F1415B"/>
    <w:rsid w:val="00F14FB4"/>
    <w:rsid w:val="00F15C93"/>
    <w:rsid w:val="00F1604E"/>
    <w:rsid w:val="00F165FF"/>
    <w:rsid w:val="00F16BB1"/>
    <w:rsid w:val="00F175B3"/>
    <w:rsid w:val="00F17A8F"/>
    <w:rsid w:val="00F17D56"/>
    <w:rsid w:val="00F20046"/>
    <w:rsid w:val="00F20242"/>
    <w:rsid w:val="00F206FE"/>
    <w:rsid w:val="00F20F5B"/>
    <w:rsid w:val="00F21048"/>
    <w:rsid w:val="00F210AB"/>
    <w:rsid w:val="00F2157F"/>
    <w:rsid w:val="00F21758"/>
    <w:rsid w:val="00F21857"/>
    <w:rsid w:val="00F218EF"/>
    <w:rsid w:val="00F21F61"/>
    <w:rsid w:val="00F22210"/>
    <w:rsid w:val="00F22444"/>
    <w:rsid w:val="00F22B7D"/>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6F2"/>
    <w:rsid w:val="00F3383E"/>
    <w:rsid w:val="00F34286"/>
    <w:rsid w:val="00F342E5"/>
    <w:rsid w:val="00F34483"/>
    <w:rsid w:val="00F346BC"/>
    <w:rsid w:val="00F3521B"/>
    <w:rsid w:val="00F354AF"/>
    <w:rsid w:val="00F35561"/>
    <w:rsid w:val="00F35865"/>
    <w:rsid w:val="00F35E92"/>
    <w:rsid w:val="00F360BA"/>
    <w:rsid w:val="00F366CE"/>
    <w:rsid w:val="00F369FF"/>
    <w:rsid w:val="00F36BF8"/>
    <w:rsid w:val="00F372E5"/>
    <w:rsid w:val="00F377A2"/>
    <w:rsid w:val="00F378E2"/>
    <w:rsid w:val="00F37922"/>
    <w:rsid w:val="00F37AEF"/>
    <w:rsid w:val="00F37BD8"/>
    <w:rsid w:val="00F37DC6"/>
    <w:rsid w:val="00F419D1"/>
    <w:rsid w:val="00F41D1F"/>
    <w:rsid w:val="00F42910"/>
    <w:rsid w:val="00F42C2B"/>
    <w:rsid w:val="00F43A8E"/>
    <w:rsid w:val="00F4416D"/>
    <w:rsid w:val="00F44833"/>
    <w:rsid w:val="00F458F5"/>
    <w:rsid w:val="00F45B82"/>
    <w:rsid w:val="00F46694"/>
    <w:rsid w:val="00F467B0"/>
    <w:rsid w:val="00F4683A"/>
    <w:rsid w:val="00F46E40"/>
    <w:rsid w:val="00F46F8B"/>
    <w:rsid w:val="00F47132"/>
    <w:rsid w:val="00F47365"/>
    <w:rsid w:val="00F47728"/>
    <w:rsid w:val="00F47AF4"/>
    <w:rsid w:val="00F47AFE"/>
    <w:rsid w:val="00F47CBA"/>
    <w:rsid w:val="00F47CF5"/>
    <w:rsid w:val="00F50020"/>
    <w:rsid w:val="00F50671"/>
    <w:rsid w:val="00F50849"/>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1026"/>
    <w:rsid w:val="00F71042"/>
    <w:rsid w:val="00F710A0"/>
    <w:rsid w:val="00F710D9"/>
    <w:rsid w:val="00F71893"/>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3CFF"/>
    <w:rsid w:val="00F94003"/>
    <w:rsid w:val="00F9458D"/>
    <w:rsid w:val="00F945E2"/>
    <w:rsid w:val="00F94737"/>
    <w:rsid w:val="00F9495D"/>
    <w:rsid w:val="00F94D8B"/>
    <w:rsid w:val="00F95013"/>
    <w:rsid w:val="00F951BD"/>
    <w:rsid w:val="00F9580F"/>
    <w:rsid w:val="00F9590D"/>
    <w:rsid w:val="00F9632D"/>
    <w:rsid w:val="00F9644F"/>
    <w:rsid w:val="00F96479"/>
    <w:rsid w:val="00F965D9"/>
    <w:rsid w:val="00F96C7A"/>
    <w:rsid w:val="00F96E7C"/>
    <w:rsid w:val="00F96FA8"/>
    <w:rsid w:val="00F975B5"/>
    <w:rsid w:val="00F97666"/>
    <w:rsid w:val="00F97C9B"/>
    <w:rsid w:val="00F97F06"/>
    <w:rsid w:val="00FA0509"/>
    <w:rsid w:val="00FA0E7C"/>
    <w:rsid w:val="00FA0F96"/>
    <w:rsid w:val="00FA17D6"/>
    <w:rsid w:val="00FA1B1E"/>
    <w:rsid w:val="00FA1CBF"/>
    <w:rsid w:val="00FA1D8F"/>
    <w:rsid w:val="00FA1EB0"/>
    <w:rsid w:val="00FA2002"/>
    <w:rsid w:val="00FA2526"/>
    <w:rsid w:val="00FA2AB0"/>
    <w:rsid w:val="00FA33A2"/>
    <w:rsid w:val="00FA34B0"/>
    <w:rsid w:val="00FA36F5"/>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C04"/>
    <w:rsid w:val="00FB0443"/>
    <w:rsid w:val="00FB0540"/>
    <w:rsid w:val="00FB15D5"/>
    <w:rsid w:val="00FB18E8"/>
    <w:rsid w:val="00FB19D8"/>
    <w:rsid w:val="00FB1F61"/>
    <w:rsid w:val="00FB22E5"/>
    <w:rsid w:val="00FB2663"/>
    <w:rsid w:val="00FB2864"/>
    <w:rsid w:val="00FB2F94"/>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10D2"/>
    <w:rsid w:val="00FD116E"/>
    <w:rsid w:val="00FD1407"/>
    <w:rsid w:val="00FD1643"/>
    <w:rsid w:val="00FD235B"/>
    <w:rsid w:val="00FD2804"/>
    <w:rsid w:val="00FD282A"/>
    <w:rsid w:val="00FD2A71"/>
    <w:rsid w:val="00FD2BDC"/>
    <w:rsid w:val="00FD3124"/>
    <w:rsid w:val="00FD36CF"/>
    <w:rsid w:val="00FD3905"/>
    <w:rsid w:val="00FD4005"/>
    <w:rsid w:val="00FD4272"/>
    <w:rsid w:val="00FD45BB"/>
    <w:rsid w:val="00FD4CC0"/>
    <w:rsid w:val="00FD4FEB"/>
    <w:rsid w:val="00FD526F"/>
    <w:rsid w:val="00FD5999"/>
    <w:rsid w:val="00FD6318"/>
    <w:rsid w:val="00FD6A3D"/>
    <w:rsid w:val="00FD6F9D"/>
    <w:rsid w:val="00FD72D9"/>
    <w:rsid w:val="00FD73AE"/>
    <w:rsid w:val="00FD7D6B"/>
    <w:rsid w:val="00FE00DC"/>
    <w:rsid w:val="00FE03B5"/>
    <w:rsid w:val="00FE0477"/>
    <w:rsid w:val="00FE0657"/>
    <w:rsid w:val="00FE15F5"/>
    <w:rsid w:val="00FE1728"/>
    <w:rsid w:val="00FE22FE"/>
    <w:rsid w:val="00FE249E"/>
    <w:rsid w:val="00FE2B7B"/>
    <w:rsid w:val="00FE3100"/>
    <w:rsid w:val="00FE3768"/>
    <w:rsid w:val="00FE3D47"/>
    <w:rsid w:val="00FE3F67"/>
    <w:rsid w:val="00FE42C4"/>
    <w:rsid w:val="00FE47B0"/>
    <w:rsid w:val="00FE5172"/>
    <w:rsid w:val="00FE5236"/>
    <w:rsid w:val="00FE5977"/>
    <w:rsid w:val="00FE5CB2"/>
    <w:rsid w:val="00FE64A7"/>
    <w:rsid w:val="00FE65DB"/>
    <w:rsid w:val="00FE6B91"/>
    <w:rsid w:val="00FE6DEC"/>
    <w:rsid w:val="00FE74E2"/>
    <w:rsid w:val="00FE74FC"/>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uiPriority w:val="99"/>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link w:val="ListParagraph"/>
    <w:uiPriority w:val="34"/>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1265771080">
          <w:marLeft w:val="547"/>
          <w:marRight w:val="0"/>
          <w:marTop w:val="96"/>
          <w:marBottom w:val="0"/>
          <w:divBdr>
            <w:top w:val="none" w:sz="0" w:space="0" w:color="auto"/>
            <w:left w:val="none" w:sz="0" w:space="0" w:color="auto"/>
            <w:bottom w:val="none" w:sz="0" w:space="0" w:color="auto"/>
            <w:right w:val="none" w:sz="0" w:space="0" w:color="auto"/>
          </w:divBdr>
        </w:div>
        <w:div w:id="573131334">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820736094">
          <w:marLeft w:val="547"/>
          <w:marRight w:val="0"/>
          <w:marTop w:val="115"/>
          <w:marBottom w:val="0"/>
          <w:divBdr>
            <w:top w:val="none" w:sz="0" w:space="0" w:color="auto"/>
            <w:left w:val="none" w:sz="0" w:space="0" w:color="auto"/>
            <w:bottom w:val="none" w:sz="0" w:space="0" w:color="auto"/>
            <w:right w:val="none" w:sz="0" w:space="0" w:color="auto"/>
          </w:divBdr>
        </w:div>
        <w:div w:id="713118960">
          <w:marLeft w:val="1166"/>
          <w:marRight w:val="0"/>
          <w:marTop w:val="96"/>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2020505539">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38405007">
          <w:marLeft w:val="547"/>
          <w:marRight w:val="0"/>
          <w:marTop w:val="86"/>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21830957">
          <w:marLeft w:val="1166"/>
          <w:marRight w:val="0"/>
          <w:marTop w:val="67"/>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1112942907">
          <w:marLeft w:val="547"/>
          <w:marRight w:val="0"/>
          <w:marTop w:val="86"/>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335957406">
          <w:marLeft w:val="1166"/>
          <w:marRight w:val="0"/>
          <w:marTop w:val="67"/>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322585603">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1693993781">
          <w:marLeft w:val="403"/>
          <w:marRight w:val="0"/>
          <w:marTop w:val="115"/>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99775585">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596868439">
          <w:marLeft w:val="878"/>
          <w:marRight w:val="0"/>
          <w:marTop w:val="9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64573408">
          <w:marLeft w:val="1210"/>
          <w:marRight w:val="0"/>
          <w:marTop w:val="8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2138642565">
          <w:marLeft w:val="878"/>
          <w:marRight w:val="0"/>
          <w:marTop w:val="96"/>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4137003">
          <w:marLeft w:val="1555"/>
          <w:marRight w:val="0"/>
          <w:marTop w:val="58"/>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306593319">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HR33RHYHUWRF-4-6142</_dlc_DocId>
    <_dlc_DocIdUrl xmlns="c06861ca-3f08-4d07-bff7-bb15bac121f4">
      <Url>https://projects.qualcomm.com/sites/pentari/_layouts/15/DocIdRedir.aspx?ID=HR33RHYHUWRF-4-6142</Url>
      <Description>HR33RHYHUWRF-4-6142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c06861ca-3f08-4d07-bff7-bb15bac121f4"/>
    <ds:schemaRef ds:uri="http://schemas.microsoft.com/office/2006/metadata/properties"/>
    <ds:schemaRef ds:uri="http://schemas.microsoft.com/office/2006/documentManagement/types"/>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ACFA6791-6647-4861-B857-5DF277D4F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346</TotalTime>
  <Pages>10</Pages>
  <Words>3125</Words>
  <Characters>17818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20902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Jing Jiang</cp:lastModifiedBy>
  <cp:revision>301</cp:revision>
  <cp:lastPrinted>2014-11-07T05:38:00Z</cp:lastPrinted>
  <dcterms:created xsi:type="dcterms:W3CDTF">2017-10-01T23:45:00Z</dcterms:created>
  <dcterms:modified xsi:type="dcterms:W3CDTF">2017-11-17T23:39:00Z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d3ad3ece-3091-487a-b472-a72dfe7c4320</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